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2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</w:r>
    </w:p>
    <w:p>
      <w:pPr>
        <w:pStyle w:val="972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2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2"/>
        <w:jc w:val="both"/>
        <w:spacing w:before="0" w:after="0"/>
        <w:widowControl w:val="off"/>
        <w:rPr>
          <w:b/>
          <w:bCs/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 xml:space="preserve">ПРОЕКТ ДОГОВОРА ПОСТАВКИ ПРОДУКЦИИ №_______</w:t>
      </w:r>
      <w:r>
        <w:rPr>
          <w:b/>
          <w:bCs/>
          <w:sz w:val="22"/>
          <w:szCs w:val="22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</w:rPr>
        <w:t xml:space="preserve">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hAnsi="Times New Roman" w:eastAsia="Times New Roman" w:cs="Times New Roman"/>
          <w:bCs/>
        </w:rPr>
        <w:t xml:space="preserve">№ 00/227 от 01.09.2022 г.</w:t>
      </w:r>
      <w:r>
        <w:rPr>
          <w:rFonts w:ascii="Times New Roman" w:hAnsi="Times New Roman" w:eastAsia="Times New Roman" w:cs="Times New Roman"/>
        </w:rPr>
        <w:t xml:space="preserve"> с одной стороны; и , _______, именуемое в дальне</w:t>
      </w:r>
      <w:r>
        <w:rPr>
          <w:rFonts w:ascii="Times New Roman" w:hAnsi="Times New Roman" w:eastAsia="Times New Roman" w:cs="Times New Roman"/>
        </w:rPr>
        <w:t xml:space="preserve">йшем </w:t>
      </w:r>
      <w:r>
        <w:rPr>
          <w:rFonts w:ascii="Times New Roman" w:hAnsi="Times New Roman" w:eastAsia="Times New Roman" w:cs="Times New Roman"/>
          <w:b/>
          <w:bCs/>
        </w:rPr>
        <w:t xml:space="preserve">«Поставщик»</w:t>
      </w:r>
      <w:r>
        <w:rPr>
          <w:rFonts w:ascii="Times New Roman" w:hAnsi="Times New Roman" w:eastAsia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mes New Roman" w:hAnsi="Times New Roman" w:eastAsia="Times New Roman" w:cs="Times New Roman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240" w:lineRule="auto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Предмет Догово</w:t>
      </w:r>
      <w:r>
        <w:rPr>
          <w:rFonts w:ascii="Times New Roman" w:hAnsi="Times New Roman" w:cs="Times New Roman"/>
          <w:b/>
        </w:rPr>
        <w:t xml:space="preserve">ра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3"/>
        </w:numPr>
        <w:ind w:left="0" w:firstLine="0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устройства РЗА</w:t>
      </w:r>
      <w:r>
        <w:rPr>
          <w:rFonts w:ascii="Times New Roman" w:hAnsi="Times New Roman" w:eastAsia="Times New Roman" w:cs="Times New Roman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</w:t>
      </w:r>
      <w:r>
        <w:rPr>
          <w:rFonts w:ascii="Times New Roman" w:hAnsi="Times New Roman" w:eastAsia="Times New Roman" w:cs="Times New Roman"/>
        </w:rPr>
        <w:t xml:space="preserve">ью настоящего Договора.</w:t>
      </w:r>
      <w:r>
        <w:rPr>
          <w:rFonts w:ascii="Times New Roman" w:hAnsi="Times New Roman" w:cs="Times New Roman"/>
          <w:b/>
        </w:rPr>
      </w:r>
    </w:p>
    <w:p>
      <w:pPr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eastAsia="Times New Roman" w:cs="Times New Roman"/>
        </w:rPr>
        <w:t xml:space="preserve">Технические характеристики и требования к поставляемому оборудованию и материалам представлены в Приложении № 4 к настоящему Договору.</w:t>
      </w:r>
      <w:r>
        <w:rPr>
          <w:rFonts w:ascii="Times New Roman" w:hAnsi="Times New Roman" w:cs="Times New Roman"/>
          <w:b/>
        </w:rPr>
      </w:r>
    </w:p>
    <w:p>
      <w:pPr>
        <w:pStyle w:val="975"/>
        <w:numPr>
          <w:ilvl w:val="1"/>
          <w:numId w:val="3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3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 xml:space="preserve">о в случае сокращения потребности Покупателя без применения штрафных санкций от общего количества, указанного в Прилож</w:t>
      </w:r>
      <w:r>
        <w:rPr>
          <w:sz w:val="22"/>
          <w:szCs w:val="22"/>
        </w:rPr>
        <w:t xml:space="preserve">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  <w:r>
        <w:rPr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240" w:lineRule="auto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Цена и порядок расчётов</w:t>
      </w:r>
      <w:r>
        <w:rPr>
          <w:rFonts w:ascii="Times New Roman" w:hAnsi="Times New Roman" w:cs="Times New Roman"/>
          <w:b/>
        </w:rPr>
      </w:r>
    </w:p>
    <w:p>
      <w:pPr>
        <w:pStyle w:val="979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Цена настоящего Договора без НДС составляет: </w:t>
      </w:r>
      <w:r>
        <w:rPr>
          <w:sz w:val="22"/>
          <w:szCs w:val="22"/>
        </w:rPr>
        <w:t xml:space="preserve">___</w:t>
      </w:r>
      <w:bookmarkStart w:id="0" w:name="_GoBack"/>
      <w:r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  <w:r>
        <w:rPr>
          <w:sz w:val="22"/>
          <w:szCs w:val="22"/>
        </w:rPr>
      </w:r>
    </w:p>
    <w:p>
      <w:pPr>
        <w:pStyle w:val="979"/>
        <w:ind w:right="40" w:firstLine="0"/>
        <w:spacing w:before="0" w:after="0" w:line="240" w:lineRule="auto"/>
        <w:widowControl w:val="off"/>
        <w:tabs>
          <w:tab w:val="left" w:pos="142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</w:t>
      </w:r>
      <w:r>
        <w:rPr>
          <w:sz w:val="22"/>
          <w:szCs w:val="22"/>
        </w:rPr>
        <w:t xml:space="preserve"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sz w:val="22"/>
          <w:szCs w:val="22"/>
        </w:rPr>
      </w:r>
    </w:p>
    <w:p>
      <w:pPr>
        <w:pStyle w:val="979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sz w:val="22"/>
          <w:szCs w:val="22"/>
        </w:rPr>
        <w:t xml:space="preserve"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sz w:val="22"/>
          <w:szCs w:val="22"/>
        </w:rPr>
        <w:t xml:space="preserve"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sz w:val="22"/>
          <w:szCs w:val="22"/>
        </w:rPr>
        <w:t xml:space="preserve">ии порядком, а также иные возможные затраты.</w:t>
      </w:r>
      <w:r>
        <w:rPr>
          <w:sz w:val="22"/>
          <w:szCs w:val="22"/>
        </w:rPr>
      </w:r>
    </w:p>
    <w:p>
      <w:pPr>
        <w:pStyle w:val="979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  <w:highlight w:val="white"/>
        </w:rPr>
        <w:suppressLineNumbers/>
      </w:pPr>
      <w:r>
        <w:rPr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sz w:val="22"/>
          <w:szCs w:val="22"/>
        </w:rPr>
        <w:t xml:space="preserve">можно только по дополнительному письменному </w:t>
      </w:r>
      <w:r>
        <w:rPr>
          <w:sz w:val="22"/>
          <w:szCs w:val="22"/>
          <w:highlight w:val="white"/>
        </w:rPr>
        <w:t xml:space="preserve">соглашению сторон с оформлением новой Спецификации.</w:t>
      </w:r>
      <w:r>
        <w:rPr>
          <w:sz w:val="22"/>
          <w:szCs w:val="22"/>
          <w:highlight w:val="white"/>
        </w:rPr>
      </w:r>
    </w:p>
    <w:p>
      <w:pPr>
        <w:pStyle w:val="979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sz w:val="22"/>
          <w:szCs w:val="22"/>
          <w:highlight w:val="white"/>
        </w:rPr>
        <w:suppressLineNumbers/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объеме, указанном в Спецификации (Приложение № 1), по товарной накладной (товарно-транспортной накладной), либо универсальному передаточному документу (УПД).</w:t>
      </w:r>
      <w:r>
        <w:rPr>
          <w:sz w:val="22"/>
          <w:szCs w:val="22"/>
          <w:highlight w:val="white"/>
        </w:rPr>
      </w:r>
    </w:p>
    <w:p>
      <w:pPr>
        <w:pStyle w:val="979"/>
        <w:ind w:right="40" w:firstLine="0"/>
        <w:spacing w:before="0" w:after="0" w:line="240" w:lineRule="auto"/>
        <w:widowControl w:val="off"/>
        <w:tabs>
          <w:tab w:val="num" w:pos="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Покупатель вправе приостановить оплату, в случае н</w:t>
      </w:r>
      <w:r>
        <w:rPr>
          <w:sz w:val="22"/>
          <w:szCs w:val="22"/>
        </w:rPr>
        <w:t xml:space="preserve">епредставления документов, указанных в п. 4.1. настоящего Договора или несоответствия п. 2.6, 2.7 настоящего Договора.</w:t>
      </w:r>
      <w:r>
        <w:rPr>
          <w:sz w:val="22"/>
          <w:szCs w:val="22"/>
        </w:rPr>
      </w:r>
    </w:p>
    <w:p>
      <w:pPr>
        <w:pStyle w:val="979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</w:t>
      </w:r>
      <w:r>
        <w:rPr>
          <w:sz w:val="22"/>
          <w:szCs w:val="22"/>
        </w:rPr>
        <w:t xml:space="preserve">тного счета Покупателя. Расчеты могут производиться </w:t>
      </w:r>
      <w:r>
        <w:rPr>
          <w:sz w:val="22"/>
          <w:szCs w:val="22"/>
        </w:rPr>
        <w:t xml:space="preserve">иным способом, не противоречащим действующему законодательству РФ, по дополнительному соглашению Сторон.</w:t>
      </w:r>
      <w:r>
        <w:rPr>
          <w:sz w:val="22"/>
          <w:szCs w:val="22"/>
        </w:rPr>
      </w:r>
    </w:p>
    <w:p>
      <w:pPr>
        <w:pStyle w:val="979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</w:t>
      </w:r>
      <w:r>
        <w:rPr>
          <w:sz w:val="22"/>
          <w:szCs w:val="22"/>
        </w:rPr>
        <w:t xml:space="preserve">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</w:t>
      </w:r>
      <w:r>
        <w:rPr>
          <w:sz w:val="22"/>
          <w:szCs w:val="22"/>
        </w:rPr>
        <w:t xml:space="preserve">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</w:t>
      </w:r>
      <w:r>
        <w:rPr>
          <w:sz w:val="22"/>
          <w:szCs w:val="22"/>
        </w:rPr>
        <w:t xml:space="preserve">и условии надлежащего оформления и предоставления счета-фактуры или УПД. </w:t>
      </w:r>
      <w:r>
        <w:rPr>
          <w:sz w:val="22"/>
          <w:szCs w:val="22"/>
        </w:rPr>
      </w:r>
    </w:p>
    <w:p>
      <w:pPr>
        <w:pStyle w:val="979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</w:t>
      </w:r>
      <w:r>
        <w:rPr>
          <w:sz w:val="22"/>
          <w:szCs w:val="22"/>
        </w:rPr>
        <w:t xml:space="preserve">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sz w:val="22"/>
          <w:szCs w:val="22"/>
        </w:rPr>
      </w:r>
    </w:p>
    <w:p>
      <w:pPr>
        <w:pStyle w:val="979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0"/>
          <w:szCs w:val="20"/>
        </w:rPr>
        <w:suppressLineNumbers/>
      </w:pPr>
      <w:r>
        <w:rPr>
          <w:bCs/>
          <w:i/>
          <w:iCs/>
          <w:sz w:val="20"/>
          <w:szCs w:val="20"/>
        </w:rPr>
        <w:t xml:space="preserve">*В случае перехода на электронный докуме</w:t>
      </w:r>
      <w:r>
        <w:rPr>
          <w:bCs/>
          <w:i/>
          <w:iCs/>
          <w:sz w:val="20"/>
          <w:szCs w:val="20"/>
        </w:rPr>
        <w:t xml:space="preserve">нтооборот, пункт 2.6. излагается в следующей редакции:</w:t>
      </w:r>
      <w:r>
        <w:rPr>
          <w:sz w:val="20"/>
          <w:szCs w:val="20"/>
        </w:rPr>
      </w:r>
    </w:p>
    <w:p>
      <w:pPr>
        <w:pStyle w:val="979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sz w:val="22"/>
          <w:szCs w:val="22"/>
        </w:rPr>
        <w:t xml:space="preserve"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</w:t>
      </w:r>
      <w:r>
        <w:rPr>
          <w:sz w:val="22"/>
          <w:szCs w:val="22"/>
        </w:rPr>
        <w:t xml:space="preserve">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</w:t>
      </w:r>
      <w:r>
        <w:rPr>
          <w:sz w:val="22"/>
          <w:szCs w:val="22"/>
        </w:rPr>
        <w:t xml:space="preserve">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sz w:val="22"/>
          <w:szCs w:val="22"/>
        </w:rPr>
      </w:r>
    </w:p>
    <w:p>
      <w:pPr>
        <w:pStyle w:val="979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оформлять первичн</w:t>
      </w:r>
      <w:r>
        <w:rPr>
          <w:sz w:val="22"/>
          <w:szCs w:val="22"/>
        </w:rPr>
        <w:t xml:space="preserve">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</w:t>
      </w:r>
      <w:r>
        <w:rPr>
          <w:sz w:val="22"/>
          <w:szCs w:val="22"/>
        </w:rPr>
        <w:t xml:space="preserve">етствие с пунктом 4 статьи 9 Федерального закона от 06.12.2011г. № 402-ФЗ «О бухгалтерском учете».</w:t>
      </w:r>
      <w:r>
        <w:rPr>
          <w:sz w:val="22"/>
          <w:szCs w:val="22"/>
        </w:rPr>
      </w:r>
    </w:p>
    <w:p>
      <w:pPr>
        <w:pStyle w:val="979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</w:t>
      </w:r>
      <w:r>
        <w:rPr>
          <w:sz w:val="22"/>
          <w:szCs w:val="22"/>
        </w:rPr>
        <w:t xml:space="preserve">тельств Покупателя по оплате.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4"/>
        </w:numPr>
        <w:ind w:left="0" w:firstLine="0"/>
        <w:spacing w:before="0" w:after="0" w:line="240" w:lineRule="auto"/>
        <w:tabs>
          <w:tab w:val="num" w:pos="0" w:leader="none"/>
          <w:tab w:val="clear" w:pos="360" w:leader="none"/>
          <w:tab w:val="num" w:pos="426" w:leader="none"/>
        </w:tabs>
        <w:rPr>
          <w:i/>
          <w:sz w:val="22"/>
          <w:szCs w:val="22"/>
        </w:rPr>
      </w:pPr>
      <w:r>
        <w:rPr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</w:t>
      </w:r>
      <w:r>
        <w:rPr>
          <w:sz w:val="22"/>
          <w:szCs w:val="22"/>
        </w:rPr>
        <w:t xml:space="preserve"> подтверждающие наличие сопоставимых сделок с независимыми лицами</w:t>
      </w:r>
      <w:r>
        <w:rPr>
          <w:rStyle w:val="988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  <w:r>
        <w:rPr>
          <w:i/>
          <w:sz w:val="22"/>
          <w:szCs w:val="22"/>
        </w:rPr>
      </w:r>
    </w:p>
    <w:p>
      <w:pPr>
        <w:pStyle w:val="979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240" w:lineRule="auto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3. Сроки и порядок поставки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4"/>
        </w:num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 Срок поста</w:t>
      </w:r>
      <w:r>
        <w:rPr>
          <w:rFonts w:ascii="Times New Roman" w:hAnsi="Times New Roman" w:eastAsia="Times New Roman" w:cs="Times New Roman"/>
        </w:rPr>
        <w:t xml:space="preserve">вки: в период </w:t>
      </w:r>
      <w:r>
        <w:rPr>
          <w:rFonts w:ascii="Times New Roman" w:hAnsi="Times New Roman" w:eastAsia="Times New Roman" w:cs="Times New Roman"/>
          <w:highlight w:val="white"/>
        </w:rPr>
        <w:t xml:space="preserve">с </w:t>
      </w:r>
      <w:r>
        <w:rPr>
          <w:rFonts w:ascii="Times New Roman" w:hAnsi="Times New Roman" w:eastAsia="Times New Roman" w:cs="Times New Roman"/>
        </w:rPr>
        <w:t xml:space="preserve">01.06.2025 г. по 31.07.2025 г.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240" w:lineRule="auto"/>
        <w:widowControl w:val="off"/>
        <w:tabs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hAnsi="Times New Roman" w:eastAsia="Times New Roman" w:cs="Times New Roman"/>
          <w:highlight w:val="white"/>
        </w:rPr>
        <w:t xml:space="preserve">667004, Республика Ты</w:t>
      </w:r>
      <w:r>
        <w:rPr>
          <w:rFonts w:ascii="Times New Roman" w:hAnsi="Times New Roman" w:cs="Times New Roman"/>
          <w:highlight w:val="white"/>
        </w:rPr>
        <w:t xml:space="preserve">ва, г. Кызыл, ул. Колхозная 2</w:t>
      </w:r>
      <w:r>
        <w:rPr>
          <w:rFonts w:ascii="Times New Roman" w:hAnsi="Times New Roman" w:cs="Times New Roman"/>
        </w:rPr>
        <w:t xml:space="preserve">Б,</w:t>
      </w:r>
      <w:r>
        <w:rPr>
          <w:rFonts w:ascii="Times New Roman" w:hAnsi="Times New Roman" w:eastAsia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4"/>
        </w:numPr>
        <w:ind w:left="0" w:firstLine="0"/>
        <w:jc w:val="both"/>
        <w:spacing w:after="0" w:line="240" w:lineRule="auto"/>
        <w:widowControl w:val="off"/>
        <w:tabs>
          <w:tab w:val="clear" w:pos="360" w:leader="none"/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hAnsi="Times New Roman" w:eastAsia="Times New Roman" w:cs="Times New Roman"/>
        </w:rPr>
        <w:t xml:space="preserve">поставка осуществляет</w:t>
      </w:r>
      <w:r>
        <w:rPr>
          <w:rFonts w:ascii="Times New Roman" w:hAnsi="Times New Roman" w:eastAsia="Times New Roman" w:cs="Times New Roman"/>
        </w:rPr>
        <w:t xml:space="preserve">ся транспортом за счет средств Поставщика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975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i/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i/>
          <w:sz w:val="22"/>
          <w:szCs w:val="22"/>
        </w:rPr>
      </w:r>
    </w:p>
    <w:p>
      <w:pPr>
        <w:pStyle w:val="975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Право собственности и риск сл</w:t>
      </w:r>
      <w:r>
        <w:rPr>
          <w:sz w:val="22"/>
          <w:szCs w:val="22"/>
        </w:rPr>
        <w:t xml:space="preserve">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Датой поставки (отгрузки) П</w:t>
      </w:r>
      <w:r>
        <w:rPr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sz w:val="22"/>
          <w:szCs w:val="22"/>
        </w:rPr>
      </w:r>
    </w:p>
    <w:p>
      <w:pPr>
        <w:pStyle w:val="975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Подтверждением факта при</w:t>
      </w:r>
      <w:r>
        <w:rPr>
          <w:sz w:val="22"/>
          <w:szCs w:val="22"/>
        </w:rPr>
        <w:t xml:space="preserve">емки-передачи (отгрузки) Продукции является товарная накладная (товарно-транспортная накладная) или УПД.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sz w:val="22"/>
          <w:szCs w:val="22"/>
        </w:rPr>
      </w:r>
    </w:p>
    <w:p>
      <w:pPr>
        <w:pStyle w:val="975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При установлении несоответствия поступивших материалов ассортименту, количеств</w:t>
      </w:r>
      <w:r>
        <w:rPr>
          <w:sz w:val="22"/>
          <w:szCs w:val="22"/>
        </w:rPr>
        <w:t xml:space="preserve"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sz w:val="22"/>
          <w:szCs w:val="22"/>
        </w:rPr>
        <w:t xml:space="preserve"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240" w:lineRule="auto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4. Качество и порядок приемки Продукции</w:t>
      </w:r>
      <w:r>
        <w:rPr>
          <w:rFonts w:ascii="Times New Roman" w:hAnsi="Times New Roman" w:cs="Times New Roman"/>
          <w:b/>
        </w:rPr>
      </w:r>
    </w:p>
    <w:p>
      <w:pPr>
        <w:pStyle w:val="1003"/>
        <w:numPr>
          <w:ilvl w:val="1"/>
          <w:numId w:val="7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</w:t>
      </w:r>
      <w:r>
        <w:rPr>
          <w:rFonts w:ascii="Times New Roman" w:hAnsi="Times New Roman" w:cs="Times New Roman"/>
        </w:rPr>
        <w:t xml:space="preserve">огически безопасной и по своему качеству должна соответствовать наименованию и характеристикам, указанным в Спецификации (Приложение № 1) Техническим характеристикам и требованиям (Приложение № 4) к Договору, должна быть изготовлена в год поставки или пред</w:t>
      </w:r>
      <w:r>
        <w:rPr>
          <w:rFonts w:ascii="Times New Roman" w:hAnsi="Times New Roman" w:cs="Times New Roman"/>
        </w:rPr>
        <w:t xml:space="preserve">шествующий ему и быть ранее не использованной.</w:t>
      </w:r>
      <w:r>
        <w:rPr>
          <w:rFonts w:ascii="Times New Roman" w:hAnsi="Times New Roman" w:cs="Times New Roman"/>
        </w:rPr>
      </w:r>
    </w:p>
    <w:p>
      <w:pPr>
        <w:pStyle w:val="1003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должна соответствовать требованиям: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283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Действующих на территории Российской Федерации нормативно-технических документов;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283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Положения ПАО «Россети» О единой технической политике в электросетевом комплексе;</w:t>
      </w:r>
      <w:r>
        <w:rPr>
          <w:rFonts w:ascii="Times New Roman" w:hAnsi="Times New Roman" w:cs="Times New Roman"/>
        </w:rPr>
      </w:r>
    </w:p>
    <w:p>
      <w:pPr>
        <w:pStyle w:val="1003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  <w:r>
        <w:rPr>
          <w:rFonts w:ascii="Times New Roman" w:hAnsi="Times New Roman" w:cs="Times New Roman"/>
        </w:rPr>
      </w:r>
    </w:p>
    <w:p>
      <w:pPr>
        <w:pStyle w:val="1003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/>
        </w:rPr>
        <w:t xml:space="preserve">Упаковка, маркировка, временная антикоррозионная защита, усл</w:t>
      </w:r>
      <w:r>
        <w:rPr>
          <w:rFonts w:ascii="Times New Roman" w:hAnsi="Times New Roman" w:eastAsia="Times New Roman"/>
        </w:rPr>
        <w:t xml:space="preserve">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</w:t>
      </w:r>
      <w:r>
        <w:rPr>
          <w:rFonts w:ascii="Times New Roman" w:hAnsi="Times New Roman" w:eastAsia="Times New Roman"/>
        </w:rPr>
        <w:t xml:space="preserve">ля изделия, требованиям ГОСТ 23216-78 и др. нормативно-технической документации. </w:t>
      </w:r>
      <w:r>
        <w:rPr>
          <w:rFonts w:ascii="Times New Roman" w:hAnsi="Times New Roman" w:cs="Times New Roman"/>
        </w:rPr>
      </w:r>
    </w:p>
    <w:p>
      <w:pPr>
        <w:pStyle w:val="1003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hAnsi="Times New Roman" w:eastAsia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должна быть рассчитана на эксплуатацию </w:t>
      </w:r>
      <w:r>
        <w:rPr>
          <w:rFonts w:ascii="Times New Roman" w:hAnsi="Times New Roman" w:cs="Times New Roman"/>
        </w:rPr>
        <w:t xml:space="preserve">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 w:cs="Times New Roman"/>
        </w:rPr>
      </w:r>
    </w:p>
    <w:p>
      <w:pPr>
        <w:pStyle w:val="1003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</w:t>
      </w:r>
      <w:r>
        <w:rPr>
          <w:rFonts w:ascii="Times New Roman" w:hAnsi="Times New Roman" w:cs="Times New Roman"/>
          <w:iCs/>
        </w:rPr>
        <w:t xml:space="preserve">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</w:rPr>
      </w:r>
    </w:p>
    <w:p>
      <w:pPr>
        <w:pStyle w:val="1003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7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гарантии на поставляемые материалы и обору</w:t>
      </w:r>
      <w:r>
        <w:rPr>
          <w:rFonts w:ascii="Times New Roman" w:hAnsi="Times New Roman" w:cs="Times New Roman"/>
        </w:rPr>
        <w:t xml:space="preserve">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cs="Times New Roman"/>
        </w:rPr>
      </w:r>
    </w:p>
    <w:p>
      <w:pPr>
        <w:pStyle w:val="1003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устранять любые дефекты в поставляемом обо</w:t>
      </w:r>
      <w:r>
        <w:rPr>
          <w:rFonts w:ascii="Times New Roman" w:hAnsi="Times New Roman" w:cs="Times New Roman"/>
        </w:rPr>
        <w:t xml:space="preserve">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7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</w:t>
      </w:r>
      <w:r>
        <w:rPr>
          <w:rFonts w:ascii="Times New Roman" w:hAnsi="Times New Roman" w:cs="Times New Roman"/>
        </w:rPr>
        <w:t xml:space="preserve">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7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</w:t>
      </w:r>
      <w:r>
        <w:rPr>
          <w:rFonts w:ascii="Times New Roman" w:hAnsi="Times New Roman" w:cs="Times New Roman"/>
        </w:rPr>
        <w:t xml:space="preserve">вит дефект(ы) или не произведет замену некачественной Продукции в сроки, указанные в п. 4.3 настоящего Договора, Покупатель может </w:t>
      </w:r>
      <w:r>
        <w:rPr>
          <w:rFonts w:ascii="Times New Roman" w:hAnsi="Times New Roman" w:cs="Times New Roman"/>
        </w:rPr>
        <w:t xml:space="preserve">применить санкции, указанные в п. 6.2. настоящего Договора, без какого-либо ущерба любым другим правам, которые Покупатель име</w:t>
      </w:r>
      <w:r>
        <w:rPr>
          <w:rFonts w:ascii="Times New Roman" w:hAnsi="Times New Roman" w:cs="Times New Roman"/>
        </w:rPr>
        <w:t xml:space="preserve">ет в отношении Поставщика в соответствии с действующим законодательством и условиями настоящего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</w:t>
      </w:r>
      <w:r>
        <w:rPr>
          <w:rFonts w:ascii="Times New Roman" w:hAnsi="Times New Roman" w:cs="Times New Roman"/>
        </w:rPr>
        <w:t xml:space="preserve">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0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283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0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283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7"/>
        </w:numPr>
        <w:ind w:left="0" w:right="4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</w:t>
      </w:r>
      <w:r>
        <w:rPr>
          <w:rFonts w:ascii="Times New Roman" w:hAnsi="Times New Roman" w:cs="Times New Roman"/>
        </w:rPr>
        <w:t xml:space="preserve">представителями АО «Россети Сибирь Тываэнерго» при получении на склад.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При приемке продукции осуществляется: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внешний осмотр тары и упаковки: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проверку соответствия количества отгр</w:t>
      </w:r>
      <w:r>
        <w:rPr>
          <w:rFonts w:ascii="Times New Roman" w:hAnsi="Times New Roman" w:eastAsia="Times New Roman" w:cs="Times New Roman"/>
        </w:rPr>
        <w:t xml:space="preserve">уженных и поступивших поставочных мест;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проведение оценки соответствия продукции для</w:t>
      </w:r>
      <w:r>
        <w:rPr>
          <w:rFonts w:ascii="Times New Roman" w:hAnsi="Times New Roman" w:eastAsia="Times New Roman" w:cs="Times New Roman"/>
        </w:rPr>
        <w:t xml:space="preserve">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</w:t>
      </w:r>
      <w:r>
        <w:rPr>
          <w:rFonts w:ascii="Times New Roman" w:hAnsi="Times New Roman" w:eastAsia="Times New Roman" w:cs="Times New Roman"/>
        </w:rPr>
        <w:t xml:space="preserve">ции;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03"/>
        <w:ind w:left="0"/>
        <w:jc w:val="both"/>
        <w:spacing w:after="0" w:line="240" w:lineRule="auto"/>
        <w:tabs>
          <w:tab w:val="left" w:pos="283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</w:rPr>
      </w:r>
    </w:p>
    <w:p>
      <w:pPr>
        <w:pStyle w:val="1003"/>
        <w:ind w:left="0" w:right="4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</w:t>
      </w:r>
      <w:r>
        <w:rPr>
          <w:rFonts w:ascii="Times New Roman" w:hAnsi="Times New Roman" w:cs="Times New Roman"/>
        </w:rPr>
        <w:t xml:space="preserve">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</w:t>
      </w:r>
      <w:r>
        <w:rPr>
          <w:rFonts w:ascii="Times New Roman" w:hAnsi="Times New Roman" w:cs="Times New Roman"/>
        </w:rPr>
        <w:t xml:space="preserve">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</w:t>
      </w:r>
      <w:r>
        <w:rPr>
          <w:rFonts w:ascii="Times New Roman" w:hAnsi="Times New Roman" w:cs="Times New Roman"/>
        </w:rPr>
        <w:t xml:space="preserve">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</w:t>
      </w:r>
      <w:r>
        <w:rPr>
          <w:rFonts w:ascii="Times New Roman" w:hAnsi="Times New Roman" w:cs="Times New Roman"/>
        </w:rPr>
        <w:t xml:space="preserve">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11" w:tooltip="https://www.rosseti.ru/suppliers/technical-policy/equipment-quality-control/" w:history="1">
        <w:r>
          <w:rPr>
            <w:rStyle w:val="992"/>
            <w:rFonts w:ascii="Times New Roman" w:hAnsi="Times New Roman" w:cs="Times New Roman"/>
          </w:rPr>
          <w:t xml:space="preserve"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поставке Продукции Поставщик должен перед</w:t>
      </w:r>
      <w:r>
        <w:rPr>
          <w:rFonts w:ascii="Times New Roman" w:hAnsi="Times New Roman" w:cs="Times New Roman"/>
        </w:rPr>
        <w:t xml:space="preserve">ать Покупателю оригиналы следующих документов на русском языке: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2"/>
          <w:numId w:val="8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Сертификаты соответствия и протоколы сертификационных испытаний.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2"/>
          <w:numId w:val="8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Полный комплект технической и эксплуатационной документации на русском языке, подготовленной в соответствии с ГОСТ 2.601-2019 п</w:t>
      </w:r>
      <w:r>
        <w:rPr>
          <w:rFonts w:ascii="Times New Roman" w:hAnsi="Times New Roman" w:eastAsia="Times New Roman" w:cs="Times New Roman"/>
        </w:rPr>
        <w:t xml:space="preserve">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2"/>
          <w:numId w:val="8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Гарантийные свидетельства.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2"/>
          <w:numId w:val="8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Сертификат о происхождении свидетельства о праве применения Товара на террит</w:t>
      </w:r>
      <w:r>
        <w:rPr>
          <w:rFonts w:ascii="Times New Roman" w:hAnsi="Times New Roman" w:cs="Times New Roman"/>
        </w:rPr>
        <w:t xml:space="preserve">ории Российской Федерации в случае поставки Продукции, произведенной за пределами Российской Федерации.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2"/>
          <w:numId w:val="8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Документ, подтверждающий страну происхождения Продукции.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2"/>
          <w:numId w:val="8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Копию заключения о проверке качества, подтверждающего возможность применения Товара на объектах</w:t>
      </w:r>
      <w:r>
        <w:rPr>
          <w:rFonts w:ascii="Times New Roman" w:hAnsi="Times New Roman" w:cs="Times New Roman"/>
        </w:rPr>
        <w:t xml:space="preserve">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поставки Продукции, имеющей зарегистриров</w:t>
      </w:r>
      <w:r>
        <w:rPr>
          <w:rFonts w:ascii="Times New Roman" w:hAnsi="Times New Roman" w:cs="Times New Roman"/>
        </w:rPr>
        <w:t xml:space="preserve">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mes New Roman" w:hAnsi="Times New Roman" w:cs="Times New Roman"/>
        </w:rPr>
      </w:r>
    </w:p>
    <w:p>
      <w:pPr>
        <w:pStyle w:val="1003"/>
        <w:ind w:left="0"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</w:rPr>
        <w:t xml:space="preserve">    5. Тара и упаковка</w:t>
      </w:r>
      <w:r>
        <w:rPr>
          <w:rFonts w:ascii="Times New Roman" w:hAnsi="Times New Roman" w:cs="Times New Roman"/>
          <w:b/>
        </w:rPr>
      </w:r>
    </w:p>
    <w:p>
      <w:pPr>
        <w:pStyle w:val="979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sz w:val="22"/>
          <w:szCs w:val="22"/>
        </w:rPr>
      </w:r>
    </w:p>
    <w:p>
      <w:pPr>
        <w:pStyle w:val="979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b/>
          <w:sz w:val="22"/>
          <w:szCs w:val="22"/>
        </w:rPr>
      </w:r>
    </w:p>
    <w:p>
      <w:pPr>
        <w:pStyle w:val="979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b/>
          <w:sz w:val="22"/>
          <w:szCs w:val="22"/>
        </w:rPr>
      </w:r>
    </w:p>
    <w:p>
      <w:pPr>
        <w:pStyle w:val="979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 xml:space="preserve">кции Покупателем.</w:t>
      </w:r>
      <w:r>
        <w:rPr>
          <w:sz w:val="22"/>
          <w:szCs w:val="22"/>
        </w:rPr>
      </w:r>
    </w:p>
    <w:p>
      <w:pPr>
        <w:pStyle w:val="1003"/>
        <w:numPr>
          <w:ilvl w:val="0"/>
          <w:numId w:val="6"/>
        </w:numPr>
        <w:ind w:left="0" w:right="40" w:firstLine="0"/>
        <w:jc w:val="center"/>
        <w:spacing w:after="0" w:line="240" w:lineRule="auto"/>
        <w:widowControl w:val="off"/>
        <w:tabs>
          <w:tab w:val="left" w:pos="0" w:leader="none"/>
          <w:tab w:val="left" w:pos="283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Ответственность сторон и порядок разрешения споров</w:t>
      </w:r>
      <w:r>
        <w:rPr>
          <w:rFonts w:ascii="Times New Roman" w:hAnsi="Times New Roman" w:cs="Times New Roman"/>
          <w:b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 xml:space="preserve"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</w:t>
      </w:r>
      <w:r>
        <w:rPr>
          <w:bCs/>
          <w:sz w:val="22"/>
          <w:szCs w:val="22"/>
        </w:rPr>
        <w:t xml:space="preserve">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</w:t>
      </w:r>
      <w:r>
        <w:rPr>
          <w:sz w:val="22"/>
          <w:szCs w:val="22"/>
        </w:rPr>
        <w:t xml:space="preserve"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num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</w:t>
      </w:r>
      <w:r>
        <w:rPr>
          <w:sz w:val="22"/>
          <w:szCs w:val="22"/>
        </w:rPr>
        <w:t xml:space="preserve">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</w:t>
      </w:r>
      <w:r>
        <w:rPr>
          <w:sz w:val="22"/>
          <w:szCs w:val="22"/>
        </w:rPr>
        <w:t xml:space="preserve">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</w:t>
      </w:r>
      <w:r>
        <w:rPr>
          <w:sz w:val="22"/>
          <w:szCs w:val="22"/>
        </w:rPr>
        <w:t xml:space="preserve">ченного платежа за каждый день просрочки. 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</w:t>
      </w:r>
      <w:r>
        <w:rPr>
          <w:sz w:val="22"/>
          <w:szCs w:val="22"/>
        </w:rPr>
        <w:t xml:space="preserve">от суммы просроченного платежа.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sz w:val="22"/>
          <w:szCs w:val="22"/>
          <w:highlight w:val="white"/>
        </w:rPr>
      </w:pPr>
      <w:r>
        <w:rPr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43"/>
          <w:highlight w:val="white"/>
          <w:shd w:val="clear" w:color="auto" w:fill="ffffff"/>
        </w:rPr>
        <w:footnoteReference w:id="3"/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</w:t>
      </w:r>
      <w:r>
        <w:rPr>
          <w:sz w:val="22"/>
          <w:szCs w:val="22"/>
        </w:rPr>
        <w:t xml:space="preserve">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 по привлечению к испол</w:t>
      </w:r>
      <w:r>
        <w:rPr>
          <w:sz w:val="22"/>
          <w:szCs w:val="22"/>
        </w:rPr>
        <w:t xml:space="preserve">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988"/>
          <w:sz w:val="22"/>
          <w:szCs w:val="22"/>
        </w:rPr>
        <w:footnoteReference w:id="4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</w:t>
      </w:r>
      <w:r>
        <w:rPr>
          <w:sz w:val="22"/>
          <w:szCs w:val="22"/>
        </w:rPr>
        <w:t xml:space="preserve">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</w:t>
      </w:r>
      <w:r>
        <w:rPr>
          <w:sz w:val="22"/>
          <w:szCs w:val="22"/>
        </w:rPr>
        <w:t xml:space="preserve">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</w:t>
      </w:r>
      <w:r>
        <w:rPr>
          <w:sz w:val="22"/>
          <w:szCs w:val="22"/>
        </w:rPr>
        <w:t xml:space="preserve">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</w:t>
      </w:r>
      <w:r>
        <w:rPr>
          <w:sz w:val="22"/>
          <w:szCs w:val="22"/>
        </w:rPr>
        <w:t xml:space="preserve">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</w:t>
      </w:r>
      <w:r>
        <w:rPr>
          <w:sz w:val="22"/>
          <w:szCs w:val="22"/>
        </w:rPr>
        <w:t xml:space="preserve">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Споры пер</w:t>
      </w:r>
      <w:r>
        <w:rPr>
          <w:sz w:val="22"/>
          <w:szCs w:val="22"/>
        </w:rPr>
        <w:t xml:space="preserve">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соглашаются, чт</w:t>
      </w:r>
      <w:r>
        <w:rPr>
          <w:sz w:val="22"/>
          <w:szCs w:val="22"/>
        </w:rPr>
        <w:t xml:space="preserve">о документы и иные материалы в рамках арбитража могут направляться по следующим адресам электронной почты: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12" w:tooltip="mailto:tuvaenergo@tv.rosseti-sib.ru" w:history="1">
        <w:r>
          <w:rPr>
            <w:rStyle w:val="992"/>
            <w:sz w:val="22"/>
            <w:szCs w:val="22"/>
          </w:rPr>
          <w:t xml:space="preserve">tuvaenergo@tv.rosseti-s</w:t>
        </w:r>
        <w:r>
          <w:rPr>
            <w:rStyle w:val="992"/>
            <w:sz w:val="22"/>
            <w:szCs w:val="22"/>
          </w:rPr>
          <w:t xml:space="preserve">ib.ru</w:t>
        </w:r>
      </w:hyperlink>
      <w:r>
        <w:rPr>
          <w:sz w:val="22"/>
          <w:szCs w:val="22"/>
        </w:rPr>
        <w:t xml:space="preserve">; </w:t>
      </w:r>
      <w:r>
        <w:rPr>
          <w:sz w:val="22"/>
          <w:szCs w:val="22"/>
        </w:rPr>
      </w:r>
    </w:p>
    <w:p>
      <w:pPr>
        <w:pStyle w:val="983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i/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</w:t>
      </w:r>
      <w:r>
        <w:rPr>
          <w:sz w:val="22"/>
          <w:szCs w:val="22"/>
        </w:rPr>
        <w:t xml:space="preserve">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sz w:val="22"/>
          <w:szCs w:val="22"/>
        </w:rPr>
      </w:r>
    </w:p>
    <w:p>
      <w:pPr>
        <w:pStyle w:val="983"/>
        <w:ind w:left="36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425" w:leader="none"/>
        </w:tabs>
        <w:rPr>
          <w:rFonts w:ascii="Times New Roman" w:hAnsi="Times New Roman" w:cs="Times New Roman"/>
          <w:b/>
          <w:bCs/>
          <w:highlight w:val="white"/>
        </w:rPr>
      </w:pPr>
      <w:r>
        <w:rPr>
          <w:rFonts w:ascii="Times New Roman" w:hAnsi="Times New Roman" w:cs="Times New Roman"/>
          <w:b/>
          <w:bCs/>
          <w:highlight w:val="white"/>
        </w:rPr>
        <w:t xml:space="preserve">Обеспечение исполнения обязательств</w:t>
      </w:r>
      <w:r>
        <w:rPr>
          <w:rStyle w:val="988"/>
          <w:b/>
          <w:bCs/>
          <w:highlight w:val="white"/>
        </w:rPr>
        <w:footnoteReference w:id="5"/>
      </w:r>
      <w:r>
        <w:rPr>
          <w:rFonts w:ascii="Times New Roman" w:hAnsi="Times New Roman" w:cs="Times New Roman"/>
          <w:b/>
          <w:bCs/>
          <w:highlight w:val="white"/>
        </w:rPr>
      </w:r>
    </w:p>
    <w:p>
      <w:pPr>
        <w:jc w:val="both"/>
        <w:keepNext/>
        <w:spacing w:after="0" w:line="240" w:lineRule="auto"/>
        <w:tabs>
          <w:tab w:val="left" w:pos="283" w:leader="none"/>
        </w:tabs>
        <w:rPr>
          <w:rFonts w:ascii="Times New Roman" w:hAnsi="Times New Roman" w:cs="Times New Roman"/>
          <w:b/>
          <w:bCs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7.1. </w:t>
      </w:r>
      <w:r>
        <w:rPr>
          <w:rFonts w:ascii="Times New Roman" w:hAnsi="Times New Roman" w:cs="Times New Roman"/>
          <w:highlight w:val="white"/>
        </w:rPr>
        <w:t xml:space="preserve">Поставщик должен предоставить обеспечение исполнения обязательств по Договору</w:t>
      </w:r>
      <w:r>
        <w:rPr>
          <w:rStyle w:val="988"/>
          <w:highlight w:val="white"/>
        </w:rPr>
        <w:footnoteReference w:id="6"/>
      </w:r>
      <w:r>
        <w:rPr>
          <w:rFonts w:ascii="Times New Roman" w:hAnsi="Times New Roman" w:cs="Times New Roman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  <w:r>
        <w:rPr>
          <w:rFonts w:ascii="Times New Roman" w:hAnsi="Times New Roman" w:cs="Times New Roman"/>
          <w:b/>
          <w:bCs/>
          <w:highlight w:val="white"/>
        </w:rPr>
      </w:r>
    </w:p>
    <w:p>
      <w:pPr>
        <w:jc w:val="center"/>
        <w:keepNext/>
        <w:spacing w:after="0" w:line="240" w:lineRule="auto"/>
        <w:tabs>
          <w:tab w:val="left" w:pos="283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240" w:lineRule="auto"/>
        <w:tabs>
          <w:tab w:val="left" w:pos="283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Обстоятельства непреодолимой силы</w:t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</w:t>
      </w:r>
      <w:r>
        <w:rPr>
          <w:rFonts w:ascii="Times New Roman" w:hAnsi="Times New Roman" w:cs="Times New Roman"/>
        </w:rPr>
        <w:t xml:space="preserve">установленном порядке документа, подтверждающего воз</w:t>
      </w:r>
      <w:r>
        <w:rPr>
          <w:rFonts w:ascii="Times New Roman" w:hAnsi="Times New Roman" w:cs="Times New Roman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 xml:space="preserve"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6"/>
        </w:numPr>
        <w:ind w:left="0" w:firstLine="0"/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 xml:space="preserve"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</w:t>
      </w:r>
      <w:r>
        <w:rPr>
          <w:rFonts w:ascii="Times New Roman" w:hAnsi="Times New Roman" w:cs="Times New Roman"/>
        </w:rPr>
        <w:t xml:space="preserve"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6"/>
        </w:numPr>
        <w:ind w:left="0" w:firstLine="0"/>
        <w:jc w:val="center"/>
        <w:keepNext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Антикоррупционная оговорка</w:t>
      </w:r>
      <w:r>
        <w:rPr>
          <w:rFonts w:ascii="Times New Roman" w:hAnsi="Times New Roman" w:cs="Times New Roman"/>
          <w:b/>
          <w:bCs/>
        </w:rPr>
      </w:r>
    </w:p>
    <w:p>
      <w:pPr>
        <w:pStyle w:val="1003"/>
        <w:numPr>
          <w:ilvl w:val="1"/>
          <w:numId w:val="6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mes New Roman" w:hAnsi="Times New Roman" w:cs="Times New Roman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mes New Roman" w:hAnsi="Times New Roman" w:cs="Times New Roman"/>
        </w:rPr>
        <w:t xml:space="preserve">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6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</w:t>
      </w:r>
      <w:r>
        <w:rPr>
          <w:rFonts w:ascii="Times New Roman" w:hAnsi="Times New Roman" w:cs="Times New Roman"/>
        </w:rPr>
        <w:t xml:space="preserve">икой, представленных в разделе «Антикоррупционная политика» на официальном сайте АО «Россети Сибирь Тываэнерго» по адресу: </w:t>
      </w:r>
      <w:hyperlink r:id="rId13" w:tooltip="http://www.tuvaenergo.ru/buy/corruption.php" w:history="1">
        <w:r>
          <w:rPr>
            <w:rStyle w:val="992"/>
            <w:rFonts w:ascii="Times New Roman" w:hAnsi="Times New Roman" w:cs="Times New Roman"/>
          </w:rPr>
          <w:t xml:space="preserve">http://www.tuvaenergo.ru</w:t>
        </w:r>
        <w:r>
          <w:rPr>
            <w:rStyle w:val="992"/>
            <w:rFonts w:ascii="Times New Roman" w:hAnsi="Times New Roman" w:cs="Times New Roman"/>
          </w:rPr>
          <w:t xml:space="preserve">/buy/corruption.php</w:t>
        </w:r>
      </w:hyperlink>
      <w:r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</w:t>
      </w:r>
      <w:r>
        <w:rPr>
          <w:rFonts w:ascii="Times New Roman" w:hAnsi="Times New Roman" w:cs="Times New Roman"/>
        </w:rPr>
        <w:t xml:space="preserve">венников, должностных лиц, работников и/или посредников.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6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</w:t>
      </w:r>
      <w:r>
        <w:rPr>
          <w:rFonts w:ascii="Times New Roman" w:hAnsi="Times New Roman" w:cs="Times New Roman"/>
        </w:rPr>
        <w:t xml:space="preserve">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</w:rPr>
      </w:r>
    </w:p>
    <w:p>
      <w:pPr>
        <w:pStyle w:val="1003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</w:t>
      </w:r>
      <w:r>
        <w:rPr>
          <w:rFonts w:ascii="Times New Roman" w:hAnsi="Times New Roman" w:cs="Times New Roman"/>
        </w:rPr>
        <w:t xml:space="preserve">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</w:t>
      </w:r>
      <w:r>
        <w:rPr>
          <w:rFonts w:ascii="Times New Roman" w:hAnsi="Times New Roman" w:cs="Times New Roman"/>
        </w:rPr>
        <w:t xml:space="preserve"> этим работником каких-либо действий в пользу стимулирующей его Стороны.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6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</w:t>
      </w:r>
      <w:r>
        <w:rPr>
          <w:rFonts w:ascii="Times New Roman" w:hAnsi="Times New Roman" w:cs="Times New Roman"/>
        </w:rPr>
        <w:t xml:space="preserve">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</w:t>
      </w:r>
      <w:r>
        <w:rPr>
          <w:rFonts w:ascii="Times New Roman" w:hAnsi="Times New Roman" w:cs="Times New Roman"/>
        </w:rPr>
        <w:t xml:space="preserve">ечение десяти рабочих дней с даты направления письменного уведомления.</w:t>
      </w:r>
      <w:r>
        <w:rPr>
          <w:rFonts w:ascii="Times New Roman" w:hAnsi="Times New Roman" w:cs="Times New Roman"/>
        </w:rPr>
      </w:r>
    </w:p>
    <w:p>
      <w:pPr>
        <w:pStyle w:val="1003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>
        <w:rPr>
          <w:rFonts w:ascii="Times New Roman" w:hAnsi="Times New Roman" w:cs="Times New Roman"/>
        </w:rPr>
        <w:t xml:space="preserve">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1"/>
          <w:numId w:val="6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</w:t>
      </w:r>
      <w:r>
        <w:rPr>
          <w:rFonts w:ascii="Times New Roman" w:hAnsi="Times New Roman" w:cs="Times New Roman"/>
        </w:rPr>
        <w:t xml:space="preserve">ренных пунктами 8.1, 8.2 Антикоррупционной оговорки, и обязательств воздерживаться от запрещенных в пункте 8.3 Антикоррупционной оговорки действий </w:t>
      </w:r>
      <w:r>
        <w:rPr>
          <w:rFonts w:ascii="Times New Roman" w:hAnsi="Times New Roman" w:cs="Times New Roman"/>
        </w:rPr>
        <w:t xml:space="preserve">и/или неполучения другой Стороной в установленный срок подтверждения, что нарушения не произошло или не произ</w:t>
      </w:r>
      <w:r>
        <w:rPr>
          <w:rFonts w:ascii="Times New Roman" w:hAnsi="Times New Roman" w:cs="Times New Roman"/>
        </w:rPr>
        <w:t xml:space="preserve">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</w:t>
      </w:r>
      <w:r>
        <w:rPr>
          <w:rFonts w:ascii="Times New Roman" w:hAnsi="Times New Roman" w:cs="Times New Roman"/>
        </w:rPr>
        <w:t xml:space="preserve">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240" w:lineRule="auto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Конфиденциальность</w:t>
      </w:r>
      <w:r>
        <w:rPr>
          <w:rFonts w:ascii="Times New Roman" w:hAnsi="Times New Roman" w:cs="Times New Roman"/>
          <w:b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 xml:space="preserve">Сторон в отношении конфиденциальной информации действуют в течение 5 (пяти) лет после прекращения действия Договора.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Любой ущерб, причиненный Стороне несоблюдением требований раздела 9. настоящего Договора, подлежит полному возмещению виновной Стороной.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Пе</w:t>
      </w:r>
      <w:r>
        <w:rPr>
          <w:sz w:val="22"/>
          <w:szCs w:val="22"/>
        </w:rPr>
        <w:t xml:space="preserve"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240" w:lineRule="auto"/>
        <w:widowControl w:val="off"/>
        <w:tabs>
          <w:tab w:val="left" w:pos="425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Уступка права тр</w:t>
      </w:r>
      <w:r>
        <w:rPr>
          <w:rFonts w:ascii="Times New Roman" w:hAnsi="Times New Roman" w:cs="Times New Roman"/>
          <w:b/>
        </w:rPr>
        <w:t xml:space="preserve">ебования</w:t>
      </w:r>
      <w:r>
        <w:rPr>
          <w:rStyle w:val="988"/>
          <w:b/>
        </w:rPr>
        <w:footnoteReference w:id="7"/>
      </w:r>
      <w:r>
        <w:rPr>
          <w:rFonts w:ascii="Times New Roman" w:hAnsi="Times New Roman" w:cs="Times New Roman"/>
          <w:b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mes New Roman" w:hAnsi="Times New Roman" w:cs="Times New Roman"/>
        </w:rPr>
        <w:t xml:space="preserve"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10.3.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</w:t>
      </w:r>
      <w:r>
        <w:rPr>
          <w:rFonts w:ascii="Times New Roman" w:hAnsi="Times New Roman" w:cs="Times New Roman"/>
        </w:rPr>
        <w:t xml:space="preserve">ченного договора.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mes New Roman" w:hAnsi="Times New Roman" w:cs="Times New Roman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4" w:tooltip="mailto:cfd@rosseti.ru" w:history="1">
        <w:r>
          <w:rPr>
            <w:rStyle w:val="992"/>
            <w:rFonts w:ascii="Times New Roman" w:hAnsi="Times New Roman" w:cs="Times New Roman"/>
          </w:rPr>
          <w:t xml:space="preserve">cfd@rosseti.ru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240" w:lineRule="auto"/>
        <w:widowControl w:val="off"/>
        <w:tabs>
          <w:tab w:val="left" w:pos="425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Толкование договора</w:t>
      </w:r>
      <w:r>
        <w:rPr>
          <w:rFonts w:ascii="Times New Roman" w:hAnsi="Times New Roman" w:cs="Times New Roman"/>
          <w:b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документы, корреспонденц</w:t>
      </w:r>
      <w:r>
        <w:rPr>
          <w:sz w:val="22"/>
          <w:szCs w:val="22"/>
        </w:rPr>
        <w:t xml:space="preserve">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</w:t>
      </w:r>
      <w:r>
        <w:rPr>
          <w:sz w:val="22"/>
          <w:szCs w:val="22"/>
        </w:rPr>
        <w:t xml:space="preserve">31 ГК РФ подлежит толкованию с учетом буквального значения содержащихся в нем слов и выражений.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240" w:lineRule="auto"/>
        <w:widowControl w:val="off"/>
        <w:tabs>
          <w:tab w:val="left" w:pos="425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Особые условия</w:t>
      </w:r>
      <w:r>
        <w:rPr>
          <w:rFonts w:ascii="Times New Roman" w:hAnsi="Times New Roman" w:cs="Times New Roman"/>
          <w:b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Покупателю:</w:t>
      </w:r>
      <w:r>
        <w:rPr>
          <w:sz w:val="22"/>
          <w:szCs w:val="22"/>
        </w:rPr>
      </w:r>
    </w:p>
    <w:p>
      <w:pPr>
        <w:pStyle w:val="1003"/>
        <w:numPr>
          <w:ilvl w:val="0"/>
          <w:numId w:val="14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</w:t>
      </w:r>
      <w:r>
        <w:rPr>
          <w:rFonts w:ascii="Times New Roman" w:hAnsi="Times New Roman" w:cs="Times New Roman"/>
        </w:rPr>
        <w:t xml:space="preserve">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992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4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привлечении Поставщиком к исполнению с</w:t>
      </w:r>
      <w:r>
        <w:rPr>
          <w:rFonts w:ascii="Times New Roman" w:hAnsi="Times New Roman" w:cs="Times New Roman"/>
        </w:rPr>
        <w:t xml:space="preserve">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</w:t>
      </w:r>
      <w:r>
        <w:rPr>
          <w:rFonts w:ascii="Times New Roman" w:hAnsi="Times New Roman" w:cs="Times New Roman"/>
        </w:rPr>
        <w:t xml:space="preserve">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992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</w:t>
      </w:r>
      <w:r>
        <w:rPr>
          <w:rFonts w:ascii="Times New Roman" w:hAnsi="Times New Roman" w:cs="Times New Roman"/>
        </w:rPr>
        <w:t xml:space="preserve">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</w:t>
      </w:r>
      <w:r>
        <w:rPr>
          <w:rFonts w:ascii="Times New Roman" w:hAnsi="Times New Roman" w:cs="Times New Roman"/>
        </w:rPr>
        <w:t xml:space="preserve">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</w:t>
      </w:r>
      <w:r>
        <w:rPr>
          <w:rFonts w:ascii="Times New Roman" w:hAnsi="Times New Roman" w:cs="Times New Roman"/>
        </w:rPr>
        <w:t xml:space="preserve">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992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</w:t>
      </w:r>
      <w:r>
        <w:rPr>
          <w:rFonts w:ascii="Times New Roman" w:hAnsi="Times New Roman" w:cs="Times New Roman"/>
        </w:rPr>
        <w:t xml:space="preserve">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  <w:r>
        <w:rPr>
          <w:rFonts w:ascii="Times New Roman" w:hAnsi="Times New Roman" w:cs="Times New Roman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</w:t>
      </w:r>
      <w:r>
        <w:rPr>
          <w:sz w:val="22"/>
          <w:szCs w:val="22"/>
        </w:rPr>
        <w:t xml:space="preserve">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что:</w:t>
      </w:r>
      <w:r>
        <w:rPr>
          <w:sz w:val="22"/>
          <w:szCs w:val="22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зарегистрирован в ЕГРЮЛ надлежащим образом;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его исполнительный орган находится</w:t>
      </w:r>
      <w:r>
        <w:rPr>
          <w:rFonts w:ascii="Times New Roman" w:hAnsi="Times New Roman" w:cs="Times New Roman"/>
        </w:rPr>
        <w:t xml:space="preserve">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</w:t>
      </w:r>
      <w:r>
        <w:rPr>
          <w:rFonts w:ascii="Times New Roman" w:hAnsi="Times New Roman" w:cs="Times New Roman"/>
        </w:rPr>
        <w:t xml:space="preserve">рому обязательство по исполнению сделки (операции) передано по договору или закону;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</w:t>
      </w:r>
      <w:r>
        <w:rPr>
          <w:rFonts w:ascii="Times New Roman" w:hAnsi="Times New Roman" w:cs="Times New Roman"/>
        </w:rPr>
        <w:t xml:space="preserve">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</w:t>
      </w:r>
      <w:r>
        <w:rPr>
          <w:rFonts w:ascii="Times New Roman" w:hAnsi="Times New Roman" w:cs="Times New Roman"/>
        </w:rPr>
        <w:t xml:space="preserve">ческое исполнение обязательств по данной сделке;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rFonts w:ascii="Times New Roman" w:hAnsi="Times New Roman" w:cs="Times New Roman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rFonts w:ascii="Times New Roman" w:hAnsi="Times New Roman" w:cs="Times New Roman"/>
        </w:rPr>
        <w:t xml:space="preserve"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допускает искажения сведений о фактах хозяйственной жизни (совокупности таких фактов) и об</w:t>
      </w:r>
      <w:r>
        <w:rPr>
          <w:rFonts w:ascii="Times New Roman" w:hAnsi="Times New Roman" w:cs="Times New Roman"/>
        </w:rPr>
        <w:t xml:space="preserve"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</w:t>
      </w:r>
      <w:r>
        <w:rPr>
          <w:rFonts w:ascii="Times New Roman" w:hAnsi="Times New Roman" w:cs="Times New Roman"/>
        </w:rPr>
        <w:t xml:space="preserve">налоговой отчетности факты хозяйственной жизни выборочно, игнор</w:t>
      </w:r>
      <w:r>
        <w:rPr>
          <w:rFonts w:ascii="Times New Roman" w:hAnsi="Times New Roman" w:cs="Times New Roman"/>
        </w:rPr>
        <w:t xml:space="preserve">ируя те из них, которые непосредственно не связаны с получением налоговой выгоды;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своевременно и в полном объеме уплачивает налоги, сборы и страховые взносы;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cs="Times New Roman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(любую одну, несколько или все вместе), указанные в п. 12.3. настоящего Договора, и это повлечет:</w:t>
      </w:r>
      <w:r>
        <w:rPr>
          <w:sz w:val="22"/>
          <w:szCs w:val="22"/>
        </w:rPr>
      </w:r>
    </w:p>
    <w:p>
      <w:pPr>
        <w:pStyle w:val="1003"/>
        <w:numPr>
          <w:ilvl w:val="0"/>
          <w:numId w:val="16"/>
        </w:numPr>
        <w:ind w:left="0" w:firstLine="0"/>
        <w:jc w:val="both"/>
        <w:spacing w:after="0" w:line="240" w:lineRule="auto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cs="Times New Roman"/>
        </w:rPr>
      </w:r>
    </w:p>
    <w:p>
      <w:pPr>
        <w:pStyle w:val="1003"/>
        <w:numPr>
          <w:ilvl w:val="0"/>
          <w:numId w:val="16"/>
        </w:numPr>
        <w:ind w:left="0" w:firstLine="0"/>
        <w:jc w:val="both"/>
        <w:spacing w:after="0" w:line="240" w:lineRule="auto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</w:t>
      </w:r>
      <w:r>
        <w:rPr>
          <w:rFonts w:ascii="Times New Roman" w:hAnsi="Times New Roman" w:cs="Times New Roman"/>
        </w:rPr>
        <w:t xml:space="preserve">етьими лицами, купившими у </w:t>
      </w:r>
      <w:r>
        <w:rPr>
          <w:rFonts w:ascii="Times New Roman" w:hAnsi="Times New Roman" w:cs="Times New Roman"/>
          <w:spacing w:val="-2"/>
        </w:rPr>
        <w:t xml:space="preserve"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mes New Roman" w:hAnsi="Times New Roman" w:cs="Times New Roman"/>
        </w:rPr>
        <w:t xml:space="preserve"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 xml:space="preserve"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</w:t>
      </w:r>
      <w:r>
        <w:rPr>
          <w:rFonts w:ascii="Times New Roman" w:hAnsi="Times New Roman" w:cs="Times New Roman"/>
        </w:rPr>
        <w:t xml:space="preserve">ний. </w:t>
      </w:r>
      <w:r>
        <w:rPr>
          <w:rFonts w:ascii="Times New Roman" w:hAnsi="Times New Roman" w:cs="Times New Roman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</w:t>
      </w:r>
      <w:r>
        <w:rPr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 xml:space="preserve">Поставщика</w:t>
      </w:r>
      <w:r>
        <w:rPr>
          <w:sz w:val="22"/>
          <w:szCs w:val="22"/>
        </w:rPr>
        <w:t xml:space="preserve"> возместить имущественные потери.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240" w:lineRule="auto"/>
        <w:widowControl w:val="off"/>
        <w:tabs>
          <w:tab w:val="left" w:pos="425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Заключительные положения</w:t>
      </w:r>
      <w:r>
        <w:rPr>
          <w:rFonts w:ascii="Times New Roman" w:hAnsi="Times New Roman" w:cs="Times New Roman"/>
          <w:b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  <w:lang w:val="en-US"/>
        </w:rPr>
        <w:suppressLineNumbers/>
      </w:pPr>
      <w:r>
        <w:rPr>
          <w:sz w:val="22"/>
          <w:szCs w:val="22"/>
          <w:lang w:val="en-US"/>
        </w:rPr>
        <w:t xml:space="preserve">e-mail: </w:t>
      </w:r>
      <w:hyperlink r:id="rId18" w:tooltip="mailto:BaturinNV@tuva.mrsk-sib.ru" w:history="1">
        <w:r>
          <w:rPr>
            <w:rStyle w:val="992"/>
            <w:sz w:val="22"/>
            <w:szCs w:val="22"/>
            <w:lang w:val="en-US"/>
          </w:rPr>
          <w:t xml:space="preserve">BaturinNV@tuva.mrsk-sib.ru</w:t>
        </w:r>
      </w:hyperlink>
      <w:r>
        <w:rPr>
          <w:sz w:val="22"/>
          <w:szCs w:val="22"/>
          <w:lang w:val="en-US"/>
        </w:rPr>
        <w:t xml:space="preserve"> . </w:t>
      </w:r>
      <w:r>
        <w:rPr>
          <w:sz w:val="22"/>
          <w:szCs w:val="22"/>
          <w:lang w:val="en-US"/>
        </w:rPr>
      </w:r>
    </w:p>
    <w:p>
      <w:pPr>
        <w:pStyle w:val="975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Кулар Аржаан Юрьевич: +7 (39422) 9-85-29, 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992"/>
            <w:sz w:val="22"/>
            <w:szCs w:val="22"/>
            <w:lang w:val="en-US"/>
          </w:rPr>
          <w:t xml:space="preserve">KularAY</w:t>
        </w:r>
        <w:r>
          <w:rPr>
            <w:rStyle w:val="992"/>
            <w:sz w:val="22"/>
            <w:szCs w:val="22"/>
          </w:rPr>
          <w:t xml:space="preserve">@</w:t>
        </w:r>
        <w:r>
          <w:rPr>
            <w:rStyle w:val="992"/>
            <w:sz w:val="22"/>
            <w:szCs w:val="22"/>
            <w:lang w:val="en-US"/>
          </w:rPr>
          <w:t xml:space="preserve">tv</w:t>
        </w:r>
        <w:r>
          <w:rPr>
            <w:rStyle w:val="992"/>
            <w:sz w:val="22"/>
            <w:szCs w:val="22"/>
          </w:rPr>
          <w:t xml:space="preserve">.</w:t>
        </w:r>
        <w:r>
          <w:rPr>
            <w:rStyle w:val="992"/>
            <w:sz w:val="22"/>
            <w:szCs w:val="22"/>
            <w:lang w:val="en-US"/>
          </w:rPr>
          <w:t xml:space="preserve">rosseti</w:t>
        </w:r>
        <w:r>
          <w:rPr>
            <w:rStyle w:val="992"/>
            <w:sz w:val="22"/>
            <w:szCs w:val="22"/>
          </w:rPr>
          <w:t xml:space="preserve">-</w:t>
        </w:r>
        <w:r>
          <w:rPr>
            <w:rStyle w:val="992"/>
            <w:sz w:val="22"/>
            <w:szCs w:val="22"/>
            <w:lang w:val="en-US"/>
          </w:rPr>
          <w:t xml:space="preserve">sib</w:t>
        </w:r>
        <w:r>
          <w:rPr>
            <w:rStyle w:val="992"/>
            <w:sz w:val="22"/>
            <w:szCs w:val="22"/>
          </w:rPr>
          <w:t xml:space="preserve">.</w:t>
        </w:r>
        <w:r>
          <w:rPr>
            <w:rStyle w:val="992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Часы работы: Пн. – Пт. с 8:00-17:00.</w:t>
      </w:r>
      <w:r>
        <w:rPr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</w:t>
      </w:r>
      <w:r>
        <w:rPr>
          <w:rFonts w:ascii="Times New Roman" w:hAnsi="Times New Roman" w:cs="Times New Roman"/>
        </w:rPr>
        <w:t xml:space="preserve"> расторгнутым с момента получения такого уведомления Поставщиком.</w:t>
      </w:r>
      <w:r>
        <w:rPr>
          <w:rFonts w:ascii="Times New Roman" w:hAnsi="Times New Roman" w:cs="Times New Roman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 всеми его дополнительными соглашения</w:t>
      </w:r>
      <w:r>
        <w:rPr>
          <w:bCs/>
          <w:sz w:val="22"/>
          <w:szCs w:val="22"/>
        </w:rPr>
        <w:t xml:space="preserve">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обязаны письменно уведомлять друг друга об изменении реквизито</w:t>
      </w:r>
      <w:r>
        <w:rPr>
          <w:sz w:val="22"/>
          <w:szCs w:val="22"/>
        </w:rPr>
        <w:t xml:space="preserve">в, места нахождения, почтового адреса, номеров телефонов в течение 3 (трех) рабочих дней с даты таких изменений.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</w:t>
      </w:r>
      <w:r>
        <w:rPr>
          <w:sz w:val="22"/>
          <w:szCs w:val="22"/>
        </w:rPr>
        <w:t xml:space="preserve">тветствии с законодательством Российской Федерации.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</w:t>
      </w:r>
      <w:r>
        <w:rPr>
          <w:sz w:val="22"/>
          <w:szCs w:val="22"/>
        </w:rPr>
        <w:t xml:space="preserve">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992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1" w:tooltip="mailto:BaturinNV@tv.rosseti-sib.ru" w:history="1">
        <w:r>
          <w:rPr>
            <w:rStyle w:val="992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 на адрес </w:t>
      </w:r>
      <w:r>
        <w:rPr>
          <w:rFonts w:ascii="Times New Roman" w:hAnsi="Times New Roman" w:cs="Times New Roman"/>
        </w:rPr>
        <w:t xml:space="preserve">электронной почты Поставщика: _______ 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</w:t>
      </w:r>
      <w:r>
        <w:rPr>
          <w:rFonts w:ascii="Times New Roman" w:hAnsi="Times New Roman" w:cs="Times New Roman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2" w:tooltip="mailto:EvtifevaDV@tv.rosseti-sib.ru" w:history="1">
        <w:r>
          <w:rPr>
            <w:rStyle w:val="992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3" w:tooltip="mailto:BaturinNV@tv.rosseti-sib.ru" w:history="1">
        <w:r>
          <w:rPr>
            <w:rStyle w:val="992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983"/>
        <w:ind w:firstLine="0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Каждая Сторона обязуется обеспечить дост</w:t>
      </w:r>
      <w:r>
        <w:rPr>
          <w:sz w:val="22"/>
          <w:szCs w:val="22"/>
        </w:rPr>
        <w:t xml:space="preserve">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</w:pPr>
      <w:r>
        <w:t xml:space="preserve">Все указанные в нас</w:t>
      </w:r>
      <w:r>
        <w:t xml:space="preserve">тоящем Договоре приложения являются его неотъемлемой частью.</w:t>
      </w:r>
      <w:r/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2"/>
          <w:szCs w:val="22"/>
        </w:rPr>
      </w:r>
    </w:p>
    <w:p>
      <w:pPr>
        <w:pStyle w:val="983"/>
        <w:numPr>
          <w:ilvl w:val="1"/>
          <w:numId w:val="6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прекращения деятельности АО «Россети Сибирь Тываэнерго» в резу</w:t>
      </w:r>
      <w:r>
        <w:rPr>
          <w:sz w:val="22"/>
          <w:szCs w:val="22"/>
        </w:rPr>
        <w:t xml:space="preserve">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240" w:lineRule="auto"/>
        <w:widowControl w:val="off"/>
        <w:tabs>
          <w:tab w:val="left" w:pos="425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Приложения к Договору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1. </w:t>
      </w:r>
      <w:r>
        <w:rPr>
          <w:rFonts w:ascii="Times New Roman" w:hAnsi="Times New Roman" w:cs="Times New Roman"/>
        </w:rPr>
        <w:t xml:space="preserve">Спецификация.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3. Согласие на обработку персональных данных (форма).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4. Технические характеристики и требования к поставляемому оборудованию.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5. Условия предоставления обеспечения исполнения обязательств при аномально низкой цене.</w:t>
      </w:r>
      <w:r>
        <w:rPr>
          <w:rFonts w:ascii="Times New Roman" w:hAnsi="Times New Roman" w:cs="Times New Roman"/>
        </w:rPr>
      </w:r>
    </w:p>
    <w:p>
      <w:pPr>
        <w:ind w:left="360"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360"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38"/>
        <w:jc w:val="center"/>
        <w:spacing w:after="0" w:line="240" w:lineRule="auto"/>
        <w:widowControl w:val="off"/>
        <w:tabs>
          <w:tab w:val="left" w:pos="425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16.  Юридические адреса и реквизиты сторон</w:t>
      </w:r>
      <w:r>
        <w:rPr>
          <w:rFonts w:ascii="Times New Roman" w:hAnsi="Times New Roman" w:cs="Times New Roman"/>
          <w:b/>
        </w:rPr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819"/>
        <w:gridCol w:w="4960"/>
      </w:tblGrid>
      <w:tr>
        <w:tblPrEx/>
        <w:trPr>
          <w:trHeight w:val="3465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АО «Россети Сибирь Тываэнерго»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я, 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93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ОГРН 1021700509566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юридический: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ИНН/КПП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ОКПО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_____________________/  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202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679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«_____»_____________20___г.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«_____»_____________20___г.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985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992" w:bottom="851" w:left="1134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1</w:t>
      </w:r>
      <w:r>
        <w:rPr>
          <w:rFonts w:ascii="Times New Roman" w:hAnsi="Times New Roman" w:eastAsia="Times New Roman" w:cs="Times New Roman"/>
          <w:b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к Договору №________________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Style w:val="985"/>
        <w:numPr>
          <w:ilvl w:val="0"/>
          <w:numId w:val="0"/>
        </w:numPr>
        <w:jc w:val="right"/>
        <w:keepNext w:val="0"/>
        <w:spacing w:before="0" w:after="0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  <w:r>
        <w:rPr>
          <w:b w:val="0"/>
          <w:sz w:val="22"/>
          <w:szCs w:val="22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СПЕЦИФИКАЦИЯ №______от _______20__г.</w:t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к Договору поставки № _____________от_______20__г.</w:t>
      </w:r>
      <w:r>
        <w:rPr>
          <w:rFonts w:ascii="Times New Roman" w:hAnsi="Times New Roman" w:cs="Times New Roman"/>
          <w:bCs/>
        </w:rPr>
      </w:r>
    </w:p>
    <w:tbl>
      <w:tblPr>
        <w:tblpPr w:horzAnchor="margin" w:tblpXSpec="center" w:vertAnchor="text" w:tblpY="139" w:leftFromText="180" w:topFromText="0" w:rightFromText="180" w:bottomFromText="0"/>
        <w:tblW w:w="9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420"/>
        <w:gridCol w:w="2693"/>
        <w:gridCol w:w="1417"/>
        <w:gridCol w:w="709"/>
        <w:gridCol w:w="850"/>
        <w:gridCol w:w="992"/>
        <w:gridCol w:w="1134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1000009081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Терминал ЭКРА 050 05 0301-61E2 УХЛ3.1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3428600037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Блок питания токовый БПТК-25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3414990292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Модуль БИМ 1130.00 АДР01/0,5/5/100/0/220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7"/>
            <w:tcW w:w="8643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7"/>
            <w:tcW w:w="8643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7"/>
            <w:tcW w:w="8643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983"/>
        <w:ind w:firstLine="0"/>
        <w:jc w:val="left"/>
        <w:spacing w:before="0" w:after="0" w:line="240" w:lineRule="auto"/>
        <w:widowControl w:val="off"/>
        <w:tabs>
          <w:tab w:val="left" w:pos="142" w:leader="none"/>
          <w:tab w:val="left" w:pos="283" w:leader="none"/>
          <w:tab w:val="left" w:pos="10435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3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Срок поставки: в период </w:t>
      </w:r>
      <w:r>
        <w:rPr>
          <w:sz w:val="22"/>
          <w:szCs w:val="22"/>
          <w:highlight w:val="white"/>
        </w:rPr>
        <w:t xml:space="preserve">с </w:t>
      </w:r>
      <w:r>
        <w:rPr>
          <w:sz w:val="22"/>
          <w:szCs w:val="22"/>
        </w:rPr>
        <w:t xml:space="preserve">01.06.2025 г. по 31.07.2025 г.</w:t>
      </w:r>
      <w:r>
        <w:rPr>
          <w:b/>
          <w:i/>
          <w:sz w:val="22"/>
          <w:szCs w:val="22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eastAsia="Times New Roman" w:cs="Times New Roman"/>
          <w:i/>
          <w:iCs/>
        </w:rPr>
        <w:t xml:space="preserve">.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Транспортные расходы учтены в стоимости товара. </w:t>
      </w:r>
      <w:r>
        <w:rPr>
          <w:rFonts w:ascii="Times New Roman" w:hAnsi="Times New Roman" w:eastAsia="Times New Roman" w:cs="Times New Roman"/>
        </w:rPr>
        <w:t xml:space="preserve">Стоимость тары учтена в стоимости товара.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eastAsia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tabs>
          <w:tab w:val="left" w:pos="142" w:leader="none"/>
        </w:tabs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</w:t>
      </w:r>
      <w:r>
        <w:rPr>
          <w:rFonts w:ascii="Times New Roman" w:hAnsi="Times New Roman" w:cs="Times New Roman"/>
          <w:bCs/>
        </w:rPr>
        <w:t xml:space="preserve">             ПОСТАВЩИК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</w:rPr>
        <w:t xml:space="preserve"> 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   М.П.                                                                              М.П.   </w:t>
      </w:r>
      <w:r>
        <w:rPr>
          <w:rFonts w:ascii="Times New Roman" w:hAnsi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2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0"/>
        <w:jc w:val="right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sz w:val="20"/>
          <w:szCs w:val="20"/>
        </w:rPr>
        <w:t xml:space="preserve">             от "____" __________ 20___г</w:t>
      </w:r>
      <w:r>
        <w:rPr>
          <w:rFonts w:ascii="Times New Roman" w:hAnsi="Times New Roman" w:cs="Times New Roman"/>
        </w:rPr>
      </w:r>
    </w:p>
    <w:p>
      <w:pPr>
        <w:contextualSpacing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/>
      <w:bookmarkStart w:id="1" w:name="_Toc359424111"/>
      <w:r/>
      <w:r>
        <w:rPr>
          <w:rFonts w:ascii="Times New Roman" w:hAnsi="Times New Roman" w:cs="Times New Roman"/>
          <w:b/>
          <w:caps/>
        </w:rPr>
      </w:r>
    </w:p>
    <w:p>
      <w:pPr>
        <w:contextualSpacing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>
        <w:rPr>
          <w:rFonts w:ascii="Times New Roman" w:hAnsi="Times New Roman" w:cs="Times New Roman"/>
          <w:b/>
          <w:caps/>
        </w:rPr>
        <w:t xml:space="preserve">    СО 6.1401/0</w:t>
      </w:r>
      <w:bookmarkEnd w:id="1"/>
      <w:r/>
      <w:r>
        <w:rPr>
          <w:rFonts w:ascii="Times New Roman" w:hAnsi="Times New Roman" w:cs="Times New Roman"/>
          <w:b/>
          <w:caps/>
        </w:rPr>
      </w:r>
    </w:p>
    <w:p>
      <w:pPr>
        <w:ind w:left="60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Информация о собственниках конт</w:t>
      </w:r>
      <w:r>
        <w:rPr>
          <w:rFonts w:ascii="Times New Roman" w:hAnsi="Times New Roman" w:cs="Times New Roman"/>
          <w:b/>
          <w:caps/>
        </w:rPr>
        <w:t xml:space="preserve">рагента (включая конечных бенефициаров)</w:t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(ФОРМА ДОКУМЕНТА)</w:t>
      </w:r>
      <w:r>
        <w:rPr>
          <w:rFonts w:ascii="Times New Roman" w:hAnsi="Times New Roman" w:cs="Times New Roman"/>
          <w:b/>
          <w:caps/>
        </w:rPr>
      </w:r>
    </w:p>
    <w:tbl>
      <w:tblPr>
        <w:tblW w:w="9921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/ ФИО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Приложение № 3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firstLine="709"/>
        <w:jc w:val="center"/>
        <w:keepNext/>
        <w:spacing w:after="0" w:line="300" w:lineRule="auto"/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</w:p>
    <w:p>
      <w:pPr>
        <w:ind w:firstLine="709"/>
        <w:jc w:val="center"/>
        <w:keepNext/>
        <w:spacing w:after="0" w:line="300" w:lineRule="auto"/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/>
      <w:bookmarkStart w:id="2" w:name="_Ref276562987"/>
      <w:r/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СО 6.1461/0</w:t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smallCaps/>
        </w:rPr>
      </w:pPr>
      <w:r>
        <w:rPr>
          <w:rFonts w:ascii="Times New Roman" w:hAnsi="Times New Roman" w:eastAsia="Times New Roman" w:cs="Times New Roman"/>
          <w:b/>
          <w:bCs/>
          <w:smallCaps/>
        </w:rPr>
      </w:r>
      <w:r>
        <w:rPr>
          <w:rFonts w:ascii="Times New Roman" w:hAnsi="Times New Roman" w:eastAsia="Times New Roman" w:cs="Times New Roman"/>
          <w:b/>
          <w:bCs/>
          <w:smallCaps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 «_____» ____________ 202____ г.</w:t>
      </w:r>
      <w:r>
        <w:rPr>
          <w:rFonts w:ascii="Times New Roman" w:hAnsi="Times New Roman" w:eastAsia="Times New Roman" w:cs="Times New Roman"/>
          <w:b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Настоящим, 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/>
          <w:i/>
        </w:rPr>
        <w:t xml:space="preserve">полное наименование участника закупочной процедуры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(потенциального контрагента), контрагента)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Адрес регистрации: 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КПП__________________________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ОГРН_________________________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 Ф</w:t>
      </w:r>
      <w:r>
        <w:rPr>
          <w:rFonts w:ascii="Times New Roman" w:hAnsi="Times New Roman" w:eastAsia="Times New Roman" w:cs="Times New Roman"/>
          <w:b/>
          <w:i/>
        </w:rPr>
        <w:t xml:space="preserve">.И.О.,</w:t>
      </w: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________________________________________________________________________________,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сведения о дате выдачи указанного документа и выдавшем его органе) *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действующего на основании ________</w:t>
      </w:r>
      <w:r>
        <w:rPr>
          <w:rFonts w:ascii="Times New Roman" w:hAnsi="Times New Roman" w:eastAsia="Times New Roman" w:cs="Times New Roman"/>
          <w:b/>
          <w:i/>
        </w:rPr>
        <w:t xml:space="preserve">_______</w:t>
      </w:r>
      <w:r>
        <w:rPr>
          <w:rFonts w:ascii="Times New Roman" w:hAnsi="Times New Roman" w:eastAsia="Times New Roman" w:cs="Times New Roman"/>
          <w:i/>
        </w:rPr>
        <w:t xml:space="preserve">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 «Россети Сибирь»</w:t>
      </w:r>
      <w:r>
        <w:rPr>
          <w:rFonts w:ascii="Times New Roman" w:hAnsi="Times New Roman" w:eastAsia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hAnsi="Times New Roman" w:eastAsia="Times New Roman" w:cs="Times New Roman"/>
        </w:rPr>
        <w:t xml:space="preserve">А,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  <w:i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</w:rPr>
        <w:t xml:space="preserve">, зарегистрированному по адресу: </w:t>
      </w:r>
      <w:r>
        <w:rPr>
          <w:rFonts w:ascii="Times New Roman" w:hAnsi="Times New Roman" w:eastAsia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hAnsi="Times New Roman" w:eastAsia="Times New Roman" w:cs="Times New Roman"/>
        </w:rPr>
        <w:br/>
        <w:t xml:space="preserve">в том числе ко</w:t>
      </w:r>
      <w:r>
        <w:rPr>
          <w:rFonts w:ascii="Times New Roman" w:hAnsi="Times New Roman" w:eastAsia="Times New Roman" w:cs="Times New Roman"/>
        </w:rPr>
        <w:t xml:space="preserve"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hAnsi="Times New Roman" w:eastAsia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hAnsi="Times New Roman" w:eastAsia="Times New Roman" w:cs="Times New Roman"/>
        </w:rPr>
        <w:br/>
        <w:t xml:space="preserve">а также на представление указанной информации в уполномоченные госуда</w:t>
      </w:r>
      <w:r>
        <w:rPr>
          <w:rFonts w:ascii="Times New Roman" w:hAnsi="Times New Roman" w:eastAsia="Times New Roman" w:cs="Times New Roman"/>
        </w:rPr>
        <w:t xml:space="preserve"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eastAsia="Times New Roman" w:cs="Times New Roman"/>
        </w:rPr>
        <w:br/>
        <w:t xml:space="preserve">и бенефициаров.***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Цель обработки персональных </w:t>
      </w:r>
      <w:r>
        <w:rPr>
          <w:rFonts w:ascii="Times New Roman" w:hAnsi="Times New Roman" w:eastAsia="Times New Roman" w:cs="Times New Roman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от 28.12.2011 № ВП</w:t>
      </w:r>
      <w:r>
        <w:rPr>
          <w:rFonts w:ascii="Times New Roman" w:hAnsi="Times New Roman" w:eastAsia="Times New Roman" w:cs="Times New Roman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hAnsi="Times New Roman" w:eastAsia="Times New Roman" w:cs="Times New Roman"/>
        </w:rPr>
        <w:br/>
        <w:t xml:space="preserve">а также связанных с ними иных поручений Прав</w:t>
      </w:r>
      <w:r>
        <w:rPr>
          <w:rFonts w:ascii="Times New Roman" w:hAnsi="Times New Roman" w:eastAsia="Times New Roman" w:cs="Times New Roman"/>
        </w:rPr>
        <w:t xml:space="preserve">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</w:rPr>
        <w:t xml:space="preserve">Срок, в течение которого действует настоящее согласие: со дня его подписа</w:t>
      </w:r>
      <w:r>
        <w:rPr>
          <w:rFonts w:ascii="Times New Roman" w:hAnsi="Times New Roman" w:eastAsia="Times New Roman" w:cs="Times New Roman"/>
        </w:rPr>
        <w:t xml:space="preserve">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color w:val="000000"/>
        </w:rPr>
        <w:t xml:space="preserve">, либо отзыва настоящего согласия посредством письменного обращения </w:t>
      </w:r>
      <w:r>
        <w:rPr>
          <w:rFonts w:ascii="Times New Roman" w:hAnsi="Times New Roman" w:eastAsia="Times New Roman" w:cs="Times New Roman"/>
          <w:color w:val="000000"/>
        </w:rPr>
        <w:t xml:space="preserve">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eastAsia="Times New Roman" w:cs="Times New Roman"/>
          <w:color w:val="00000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</w:rPr>
        <w:t xml:space="preserve">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                    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М.П.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                                      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 Указывается фамилия, имя, отчество, адрес су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*** Заполнен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.</w:t>
      </w:r>
      <w:bookmarkEnd w:id="2"/>
      <w:r/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ФОРМУ СОГЛАСОВАЛИ:</w:t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>
              <w:tblPrEx/>
              <w:trPr>
                <w:trHeight w:val="411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_____________________/ А.В. Лукин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_____________________/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 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4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/>
          <w:highlight w:val="green"/>
        </w:rPr>
      </w:r>
      <w:r>
        <w:rPr>
          <w:rFonts w:ascii="Times New Roman" w:hAnsi="Times New Roman" w:cs="Times New Roman"/>
          <w:highlight w:val="green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</w:rPr>
        <w:t xml:space="preserve">Характеристики и требования к Терминал защиты типа </w:t>
      </w:r>
      <w:r>
        <w:rPr>
          <w:rFonts w:ascii="Times New Roman" w:hAnsi="Times New Roman" w:eastAsia="Times New Roman" w:cs="Times New Roman"/>
          <w:b/>
          <w:bCs/>
        </w:rPr>
        <w:t xml:space="preserve">ЭКРА 050 0301</w:t>
      </w:r>
      <w:r>
        <w:rPr>
          <w:rFonts w:ascii="Times New Roman" w:hAnsi="Times New Roman" w:eastAsia="Times New Roman" w:cs="Times New Roman"/>
          <w:b/>
          <w:bCs/>
        </w:rPr>
      </w:r>
    </w:p>
    <w:tbl>
      <w:tblPr>
        <w:tblW w:w="10204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385"/>
        <w:gridCol w:w="2126"/>
        <w:gridCol w:w="184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Требование (значение парам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етра)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tbl>
            <w:tblPr>
              <w:tblW w:w="1718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insideH w:val="none" w:color="000000" w:sz="0" w:space="0"/>
                <w:insideV w:val="none" w:color="000000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>
              <w:tblPrEx/>
              <w:trPr>
                <w:trHeight w:val="112"/>
              </w:trPr>
              <w:tc>
                <w:tcPr>
                  <w:tcW w:w="171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17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Терминал защиты типа </w:t>
                  </w:r>
                  <w:r>
                    <w:rPr>
                      <w:rFonts w:ascii="Times New Roman" w:hAnsi="Times New Roman" w:eastAsia="Times New Roman" w:cs="Times New Roman"/>
                      <w:bCs/>
                      <w:sz w:val="20"/>
                      <w:szCs w:val="20"/>
                    </w:rPr>
                    <w:t xml:space="preserve">ЭКРА 050 0301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или аналогичный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Количество, шт. (компл.)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Основные параметры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Основные параметры терминала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Номинальный переменный ток входов для фазных величин Iном,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Номинальный переменный ток входов для нулевой последовательности Iзном (3I0ном ),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Номинальное междуфазное напряжение переменного тока Uном,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Номинальная частота, Гц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Номинальное напряжение постоянного оперативного питания Uпит.ном,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аналоговых каналов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аналоговых каналов напряжения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4.1.8.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дискретных входов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4.1.9.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дискретных выходных реле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Суммарная длительность хранимых осциллограмм,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Требования к электрической прочности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Сопротивление  изоляции  всех  электрически  независимых  цепей  терминала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(кроме  портов  последовательной  передачи  данных)  относительно  корпуса  и  между  собой,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измеренное в холодном состоянии при температуре окружающего воздуха (20 ± 5) °С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и относительной влажности воздуха до 80 %, -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100 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Электрическая изоляция между всеми независимыми входными и выходными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цепями терминала (за исключением цепей портов последовательной передачи данных) относительно корпуса и всех незав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50 Гц 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Требования по электромагнитной совместимости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повторяющимся  затухающим  колебаниям  частотой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 МГц по ГОСТ Р 51317.4.12-99 (МЭК 61000-4-12-95) при степени жесткости испытаний 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наносекундным  импульсным  помехам  по              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ГОСТ Р 51317.4.4-2007 (МЭК 61000-4-4:2004) при степени жесткости испытаний 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электростатическим  разрядам  по  ГОСТ  Р  51317.4.2-99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(МЭК 61000-4-2-95) при степени жесткости испытаний 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устойчив к микросекундным импульсным помехам большой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ГОСТ Р 51317.4.5-99 (МЭК 61000-4-5-95) при степени жесткости испытаний 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воздействию  магнитного  поля  промышленной  частоты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(МППЧ) по ГОСТ Р 50648-94 (МЭК 1000-4-8-93) при степени жесткости испытаний 4: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для непрерывного магнитного поля;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 А/м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4.3.5.2.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для кратковременного магнитного поля.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300 А/м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воздействию  импульсного  магнитного  поля  300  А/м 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ГОСТ Р 50649-94 (МЭК 1000-4-9-93) при степени жесткости испытаний 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воздействию  радиочастотного  электромагнитного  поля напряженностью ис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4.3.8.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кондуктивным  помехам,  наведе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нным  радиочастотными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электромагнитными полями по ГОСТ Р 51317.4.6-99 (МЭК 61000-4-6-96) напряжением 10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(140 дБ относительно 1 мкВ) в полосе частот от 0,15 до 80 МГц при степени жесткости испытаний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Требования к цепи оперативного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Цепь  оперативного  питания  гальванически  развязана  от  внутренних  цепей терминала.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не повреждается и не срабатывает ложно: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при подаче и снятии напряжения оперативного питания;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при перерывах питания любой длительности с последующим самовосстановлением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при замыканиях цепей оперативного питания на землю.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 без перезапуска терминала 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о, 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с перезапуском терминала свыше, мс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Мощность, потребляемая БП терминала от оперативного источника при номинальном напряжении, не превышает: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в дежурном режиме ,Вт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4.4.7.1.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в режиме срабатывания ,Вт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Требования к входным цепям приема аналоговых сигналов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Входные цепи переменного тока имеют термическую стойкость: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при длительном токовом воздействии;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 Iном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при токовом воздействии в течение 1,0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40 Iном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Входные цепи переменного напряжения длительно выдерживают: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цепи напряжения «разомкнутого треугольника»;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1,8 Uном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остальные цепи напряжения.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1,5 Uном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Мощность, потребляемая  по  каждому  аналоговому  входу  при  номинальном токе и напряжении сигнала, не превышает: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по входной цепи переменного тока,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4.5.3.2.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по входной цепи переменного напряжения,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Требования к входным цепям приема дискретных сигналов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4.6.1.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Требования  для  типоисполнений  терминалов  с номинальным  оперативным напряжением переменного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4.7.1.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Дискретные входы терминала обеспечивают: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4.7.1.1.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срабатывание при приеме сигналов с номинальным напряжением Uпит.ном переменного тока 220 В и длительностью не менее, 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4.7.1.2.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срабатывание при приеме сигналов с напряжением более,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4.7.1.3.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несрабатывание при приеме сигналов с напряжением менее,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4.7.2.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Номинальный ток по каждому дискретному входу - не менее,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4.7.3.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Мощность, потребляемая по каждому дискретному входу, при номинальном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напряжении сигнала не превышает,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Требования к выходным цепям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содержит выходные реле для формирования сигналов управления внешними цепями и сигнализации,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гальванически развязанные от внутренних цепей терминала.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0,40/0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,20/0,15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Контакты реле допускают включение цепей с током: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 10 А - в течение,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 30 А - в течение,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 40 А - в течение,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0,03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4.8.3.4.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длительно допустимый ток через контакты реле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Коммутационная износостойкость контактов реле, не менее: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- 2000 циклов при постоянной времени 0,04 с;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- 6500 циклов при постоянной времени 0,02 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4.8.4.3.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- 10000 циклов при постоянной времени 0,005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Требования к конструкции, изготовлению и материалам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Степень защиты, обеспечиваемая оболочкой устройства (по ГОСТ 14254):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По лицевой и боковым панелям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IP42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По задней панели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IP20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5.1.3.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 протокола МЭК 61850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УХЛ3.1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(по заказу - 40)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Высота установки над уровнем моря,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Комплектность поставки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вильной и безопасной эксплуатации, технического обслуживания поставляемого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Комплект запасных частей, расходных материалов и принадлежностей (ЗИП)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Предоставляемая техническая и эксплуатационная документация должна включать: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Общее описание устройств БЭ2502А0303-27Е4 УХЛ3.1;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Ведомость технических и эксплуатационных документов;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Спецификацию оборудования;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Функциональные схемы терминалов, отражающие внутреннюю конфигурацию логических связей устройств;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Руководство по монтажу и наладке аппаратуры и программного обеспечения;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Программы и методики испытан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ий при вводе в эксплуатацию, а также периодических проверок в процессе эксплуатации;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Протоколы наладки;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Инструкции по эксплуатации.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contextualSpacing/>
              <w:ind w:left="322"/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8.1.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Срок заводской гарантии должен составлять с момента ввода в эксплуатацию, месяцев,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Устройство должно функционировать в непрерывном режиме круглосуточно в течение установленного срока службы, который (при условии проведения требуемых технических мероприятий по обслуживанию) должен быть не менее, лет.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 течение всего указанного с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Устройство должно правильно функционировать при изменении оперативного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напряжения в пределах от номинального, %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0÷-20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Гарантийный ремонт организуют поставщики оборудования в срок не более,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сервисного центра на расстоянии не дальше 1000 км.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учебного центра на расстоянии не дальше 1000 км.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Требования по безопасности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Да, указать номер и дату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Электромагнитная совместимость (ЭМС) с электромагнитной обстановкой (ЭМО)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Методические указания по защите вторичных цепей электрических станций и подстанций от импульсных помех" (РД 34.20.116-93);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"Руководящие указания по проектированию заземляющих устройств электрических станций и подстанций напряжением 3-750 кВ переменного ток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а" (Мосэнергосетьпроект, 14140 тм-т1).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Требования по экологии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Степень загрязнения 1 (загрязнение отсутствует или имеется только сухое, непроводящее загрязнение) по ГОСТ Р 51321.1-2007.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Условия транспортирования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Приемка и шеф-монтажные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Монтаж оборудования выполн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яется с участием шеф-инженера производителя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Шеф-монтажные работы включены в стоимость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технического сопровождения (с участием поставщика)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17" w:lineRule="atLeast"/>
        <w:tabs>
          <w:tab w:val="left" w:pos="1184" w:leader="none"/>
        </w:tabs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tabs>
          <w:tab w:val="left" w:pos="1184" w:leader="none"/>
        </w:tabs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</w:rPr>
        <w:t xml:space="preserve">Характеристики и требования к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Модулю БИМ 1130.00 АДР01/0,5/5/100/0/220</w:t>
      </w:r>
      <w:r>
        <w:rPr>
          <w:rFonts w:ascii="Times New Roman" w:hAnsi="Times New Roman" w:eastAsia="Times New Roman" w:cs="Times New Roman"/>
          <w:b/>
          <w:bCs/>
        </w:rPr>
      </w:r>
    </w:p>
    <w:tbl>
      <w:tblPr>
        <w:tblW w:w="1020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385"/>
        <w:gridCol w:w="2126"/>
        <w:gridCol w:w="184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Модуль БИМ 1130.00 АДР01/0,5/5/100/0/220, </w:t>
            </w:r>
            <w:r>
              <w:rPr>
                <w:rFonts w:ascii="Times New Roman" w:hAnsi="Times New Roman" w:eastAsia="Times New Roman" w:cs="Times New Roman"/>
                <w:iCs/>
                <w:sz w:val="20"/>
                <w:szCs w:val="20"/>
              </w:rPr>
              <w:t xml:space="preserve">либо аналог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Количество, шт. (компл.)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Основные параметры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Общие параметры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аналоговых каналов, 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аналоговых каналов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аналоговых каналов напряжения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Частота дискретизации сигналов при измерении, Гц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12800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Действующее значение напряжения переменного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Номинальное междуфазное напряжение переменного напряжения Uном,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Рабочий диапазон измерений,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от 0,8∙Uн до 1,2∙Uн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аварийный диапазон измерений,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от 0,05∙Uн до 0,8∙Uн и от 1,2∙Uн до 1,4∙Uн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Действующее значение силы переменного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Номинальный переменный ток входов для фазных величин Iном,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Рабочий диапазон измерений,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от 0,05∙I н до 8∙I 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4.1.4.3.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Аварийный диапазон измерений,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от 8∙I н до 50∙I 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Частота переменного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Диапазон измерений, Гц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от 45 до 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Номинальное напряжение оперативного питания переменного тока Uпит.ном,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дискретных входов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4.1.8.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Номинальное напряжение дискретных входов,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4.1.9.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Требования к электрической прочности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4.1.9.1.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Сопротивление изоляции между независимыми цепями, между независимыми цепями и корпусом, МОм,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100 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Гальваническая развязка (цепи передачи информации/аналогового датчика ТН - 500/остальные цепи), кВ, не хуже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~0,5/ ~2,5/ ~2,0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Требова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ния по электромагнитной совместимости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повторяющимся  затухающим  колебаниям  частотой 1 МГц по ГОСТ Р 51317.4.12-99 (МЭК 61000-4-12-95) при степени жесткости испытаний 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наносекундным  импульсным  помехам  по ГОСТ Р 51317.4.4-2007 (МЭК 61000-4-4:2004) при степени жесткости испытаний 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электростатическим  разрядам  по  ГОСТ  Р  51317.4.2-99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(МЭК 61000-4-2-95) при 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тепени жесткости испытаний 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устойчив к микросекундным импульсным помехам большой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ГОСТ Р 51317.4.5-99 (МЭК 61000-4-5-95) при степени жесткости испытаний 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воздействию  магнитного  поля  промышленной  частоты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(МППЧ) по ГОСТ Р 50648-94 (МЭК 1000-4-8-93) при степени жесткости испытаний 4: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для непрерывного магнитного поля;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 А/м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4.3.5.2.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для кратковременного магнитного поля.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300 А/м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воздействию  импульсного  магнитного  поля  300  А/м 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ГОСТ Р 50649-94 (МЭК 1000-4-9-93) при степени жесткости испытаний 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пени жесткости испытаний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4.3.8.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Терминал  устойчив  к  кондуктивным  помехам,  наведенным  радиочастотными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электромагнитными полями по ГОСТ Р 51317.4.6-99 (МЭК 61000-4-6-96) напряжением 10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(140 дБ относительно 1 мкВ) в полосе частот от 0,15 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 80 МГц при степени жесткости испытаний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Требования к конструкции, изготовлению и материалам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Степень защиты, обеспечиваемая оболочкой устройства (по ГОСТ 14254):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По лицевой и боковым панелям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IP42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По задней панели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IP20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УХЛ3.1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(по заказу - 40)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Высота установки над уровнем моря,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Комплектность поставки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Подрядчик должен предоставить полный комплект технической и  эксплуатационной документации на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русском языке, подготовленной в соответствии с ГОСТ 34.003-90, ГОСТ 34.201-89, ГОСТ 27300-87, в составе, необходимом для проектирования, монтажа, наладки, пуска,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сдачи в эксплуатацию, обеспечения правильной и безопасной эксплуатации, технического обслуживания поставляемого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Комплект запасных частей, расходных материалов и принадлежностей (ЗИП)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Предоставляемая техническая и эксплуатационная документация должна включать: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Общее описание устройств;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Ведомость технических и эксплуатационных документов;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Спецификацию оборудования;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Функциональные схемы терминалов, отражающие внутреннюю конфигурацию логич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еских связей устройств;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Руководство по монтажу и наладке аппаратуры и программного обеспечения;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раммы и методики испытаний при вводе в эксплуатацию, а также периодических проверок в процессе эксплуатации;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Протоколы наладки;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Инструкции по эксплуатации.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contextualSpacing/>
              <w:ind w:left="322"/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Срок заводской гарантии должен составлять с момента ввода в эксплуатацию, месяцев,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буемых технических мероприятий по обслуживанию) должен быть не менее, лет.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аемым системам (ГОСТ 24.701-83)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Устройство должно правильно функционировать при изменении оперативного напряжения в пределах от номинального, %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0÷-20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Гарантийный ремонт организуют поставщики оборудования в срок не более,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Требования по безопасности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Да, указать номер и дату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Электромагнитная совместимость (ЭМС) с электромагнитной обстановкой (ЭМО)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Методические указания по защите вторичных цепей электрических станций и подстанций от импульсных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помех" (РД 34.20.11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6-93);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contextualSpacing/>
              <w:ind w:left="322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Требования по экологии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Степень загрязнения 1 (загрязнение отсутствует или имеется только сухое, непроводящее загрязнение) по ГОСТ Р 51321.1-2007.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Маркировка, упаковка, консервация по ГОСТ 14192-96, ГОСТ 23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216-78 и ГОСТ 15150-69 (да/нет)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Условия транспортирования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Приемка и шеф-монтажные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Монтаж оборудования выполня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ется с участием шеф-инженера производителя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Шеф-монтажные работы включены в стоимость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технического сопровождения (с участием поставщика)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17" w:lineRule="atLeast"/>
        <w:tabs>
          <w:tab w:val="left" w:pos="3764" w:leader="none"/>
        </w:tabs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tabs>
          <w:tab w:val="left" w:pos="3764" w:leader="none"/>
        </w:tabs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</w:rPr>
        <w:t xml:space="preserve">Характеристики и требования к блоку питания токовому БПТК-25</w:t>
      </w:r>
      <w:r>
        <w:rPr>
          <w:rFonts w:ascii="Times New Roman" w:hAnsi="Times New Roman" w:eastAsia="Times New Roman" w:cs="Times New Roman"/>
          <w:b/>
          <w:bCs/>
        </w:rPr>
      </w:r>
    </w:p>
    <w:tbl>
      <w:tblPr>
        <w:tblW w:w="10205" w:type="dxa"/>
        <w:tblInd w:w="-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386"/>
        <w:gridCol w:w="2126"/>
        <w:gridCol w:w="1843"/>
      </w:tblGrid>
      <w:tr>
        <w:tblPrEx/>
        <w:trPr>
          <w:tblHeader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keepLines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Производитель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Заводской тип (марка)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БПТК-25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Количество, 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 xml:space="preserve">компл.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dfdfd"/>
              </w:rPr>
              <w:t xml:space="preserve">1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Количество входов для подключения источников напряжения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Количество входов для подключения источников тока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83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Номинальное входное напряжение, В, 50 Гц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100, 220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Номинальный входной ток, А, 50 Гц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5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Номинальная выходная мощность каждого из четырёх преобразователей, Вт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25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Минимальный ток на входах обоих преобразователей переменного тока в постоянное напряжение, при котором обеспечивается выходная мощность: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25 Вт, не менее, 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50 Вт, не менее</w:t>
            </w:r>
            <w:r>
              <w:rPr>
                <w:sz w:val="20"/>
                <w:szCs w:val="20"/>
              </w:rPr>
              <w:t xml:space="preserve">, А </w:t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1,3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2,25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Минимальный ток на входе одного из двух преобразователей переменного тока в постоянное напряжение, при котором обеспечивается выходная мощность: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25 Вт, не менее, 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50 Вт, не менее, А </w:t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2,5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4,3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Ток термической стойкости цепей подключаемых к ТТ: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для исполнений блока БПТК-25М.00 и БПТК-25М.02 в течение 1 с, 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для исполнения блока БПТК-25М.01 в течение 1 с, 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для всех исполнений длительно, А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500</w:t>
            </w:r>
            <w:r/>
          </w:p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200</w:t>
            </w:r>
            <w:r/>
          </w:p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10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Рабочий диапазон входного напряжения в % от номинального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значения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80 – 110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Рабочий диапазон выходного напряжения при электропитании от ТСН и (или) ТН, В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229 – 231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Рабочий диапазон выходного напряжения при электропитании от ТТ, В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215 – 225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Амплитуда синусоидальной составляющей выходного напряжения: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при выходной мощности 25 Вт, не более, В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при выходной мощности 50 Вт, не более, В 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10</w:t>
            </w:r>
            <w:r/>
          </w:p>
          <w:p>
            <w:pPr>
              <w:pStyle w:val="1004"/>
              <w:jc w:val="center"/>
              <w:spacing w:line="17" w:lineRule="atLeast"/>
            </w:pPr>
            <w:r/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15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то-ка в постоянное напряжение при выходной мощности 25 Вт, при вход-ном токе в одном из двух входов: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2,5 A, не более,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5 A, не более,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10 A, не более, Вт / ВА </w:t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34 / 37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35 / </w:t>
            </w:r>
            <w:r>
              <w:rPr>
                <w:sz w:val="20"/>
                <w:szCs w:val="20"/>
              </w:rPr>
              <w:t xml:space="preserve">60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45 / 98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то-ка в постоянное напряжение при выходной мощности 25 Вт, при вход-ном токе в обоих входах: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2,5 A, не более,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5 A, не более,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10 A, не более, Вт / ВА </w:t>
            </w:r>
            <w:r/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30 / 36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22 / 50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30 / 82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напряжения в постоянное напряжение при номинальном входном напряжении и выходной мощности: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12,5 Вт, не более,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25 Вт, не более, Вт / ВА – 50 Вт, не более</w:t>
            </w:r>
            <w:r>
              <w:rPr>
                <w:sz w:val="20"/>
                <w:szCs w:val="20"/>
              </w:rPr>
              <w:t xml:space="preserve">, Вт / ВА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29 / 66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54 / 104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54 / 170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Рабочий диапазон выходного напряжения при электропитании от ТТ, В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215 – 225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Амплитуда синусоидальной составляющей выходного напряжения: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при выходной мощности 25 Вт, не более, В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при выходной мощности 50 Вт, не более, В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10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тока в постоянное напряжение при выходной мощности 25 Вт, при входном токе в одном из двух входов: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2,5 A, не более,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5 A, не бо</w:t>
            </w:r>
            <w:r>
              <w:rPr>
                <w:sz w:val="20"/>
                <w:szCs w:val="20"/>
              </w:rPr>
              <w:t xml:space="preserve">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10 A, не более, Вт / ВА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34 / 37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35 / 60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45 / 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тока в постоянное напряжение при выходной мощности 25 Вт, при входном токе в обоих входах: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2,5 A, не более,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5 A, не более,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10 A, не более, Вт / ВА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30 / 36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22 / 50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30 /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Мощность потребления по входам преобразователей переменного напряжения в постоянное напряжение при номинальном входном напряжении и выходной мощности: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12,5 Вт, не более, Вт / ВА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25 Вт, не более, Вт / ВА – 50 Вт, не более, Вт / ВА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29 / 66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54 / 104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54 / 170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Габаритные размеры блока, не более, мм: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ширина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высота </w:t>
            </w:r>
            <w:r/>
          </w:p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– глубина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240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250</w:t>
            </w:r>
            <w:r/>
          </w:p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135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textDirection w:val="lrTb"/>
            <w:noWrap w:val="false"/>
          </w:tcPr>
          <w:p>
            <w:pPr>
              <w:pStyle w:val="1004"/>
              <w:spacing w:line="17" w:lineRule="atLeast"/>
            </w:pPr>
            <w:r>
              <w:rPr>
                <w:sz w:val="20"/>
                <w:szCs w:val="20"/>
              </w:rPr>
              <w:t xml:space="preserve">Масса блока, не более, кг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04"/>
              <w:jc w:val="center"/>
              <w:spacing w:line="17" w:lineRule="atLeast"/>
            </w:pPr>
            <w:r>
              <w:rPr>
                <w:sz w:val="20"/>
                <w:szCs w:val="20"/>
              </w:rPr>
              <w:t xml:space="preserve">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Сопротивление изоляции между всеми независимыми цепями, а также между независимыми цепями и корпусом, измеренное в холодном состоянии, при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температуре окружающего воздуха (20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5)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С и относительной влажности воздуха до 80 %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100 МОм.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Электрическая изоляция между всеми независимыми цепями, а также между независимыми цепями и корпусом выдерживает без пробоя изоляции при-ложенное в течение 1 мин испытательное напряжение переменного тока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кВ, 50 Гц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  <w:t xml:space="preserve">Требования к конструкции, изготовлени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  <w:t xml:space="preserve">ю и материалам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Степень защиты, обеспечиваемая оболочкой устройства (по ГОСТ 14254):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IP20</w:t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УХЛ3.1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55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- 40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38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Высота установки над уровнем моря, 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2000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5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к Договору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17" w:lineRule="atLeast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Условия предоставления обеспечения исполнения обязательств </w:t>
      </w:r>
      <w:r>
        <w:rPr>
          <w:sz w:val="24"/>
          <w:szCs w:val="24"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при аномально низкой цене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1003"/>
        <w:numPr>
          <w:ilvl w:val="0"/>
          <w:numId w:val="17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/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i/>
          <w:color w:val="000000"/>
          <w:sz w:val="24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/>
    </w:p>
    <w:p>
      <w:pPr>
        <w:pStyle w:val="1003"/>
        <w:numPr>
          <w:ilvl w:val="1"/>
          <w:numId w:val="19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величен до 30% (тридцати) от начальной (максимальной) цены Договора (цены лота).</w:t>
      </w:r>
      <w:r/>
    </w:p>
    <w:p>
      <w:pPr>
        <w:pStyle w:val="1003"/>
        <w:numPr>
          <w:ilvl w:val="1"/>
          <w:numId w:val="19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/>
    </w:p>
    <w:p>
      <w:pPr>
        <w:pStyle w:val="1003"/>
        <w:numPr>
          <w:ilvl w:val="1"/>
          <w:numId w:val="19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олнения Договора в размере аванса, но не менее 5% (пяти процентов) от начальной (максимальной) цены Договора (цены лота).</w:t>
      </w:r>
      <w:r/>
    </w:p>
    <w:p>
      <w:pPr>
        <w:pStyle w:val="1003"/>
        <w:numPr>
          <w:ilvl w:val="1"/>
          <w:numId w:val="19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альной (максимальной) цены Договора (цены лота).</w:t>
      </w:r>
      <w:r/>
    </w:p>
    <w:p>
      <w:pPr>
        <w:pStyle w:val="1003"/>
        <w:numPr>
          <w:ilvl w:val="1"/>
          <w:numId w:val="19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/>
    </w:p>
    <w:p>
      <w:pPr>
        <w:pStyle w:val="1003"/>
        <w:numPr>
          <w:ilvl w:val="1"/>
          <w:numId w:val="19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согласно проекту Договора, размещенно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/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i/>
          <w:color w:val="000000"/>
          <w:sz w:val="24"/>
        </w:rPr>
        <w:t xml:space="preserve">Вариант 2 (для включения в договоры, заключаемые по результатам 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</w:rPr>
        <w:t xml:space="preserve">закупочных процедур, участниками которых могут быть только субъекты малого и среднего предпринимательства)</w:t>
      </w:r>
      <w:r/>
    </w:p>
    <w:p>
      <w:pPr>
        <w:pStyle w:val="1003"/>
        <w:numPr>
          <w:ilvl w:val="1"/>
          <w:numId w:val="20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/>
    </w:p>
    <w:p>
      <w:pPr>
        <w:pStyle w:val="1003"/>
        <w:numPr>
          <w:ilvl w:val="1"/>
          <w:numId w:val="20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ьной (максимальной) цены Договора (цены лота).</w:t>
      </w:r>
      <w:r/>
    </w:p>
    <w:p>
      <w:pPr>
        <w:pStyle w:val="1003"/>
        <w:numPr>
          <w:ilvl w:val="1"/>
          <w:numId w:val="20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/>
    </w:p>
    <w:p>
      <w:pPr>
        <w:pStyle w:val="1003"/>
        <w:numPr>
          <w:ilvl w:val="1"/>
          <w:numId w:val="20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проектом Договора, размещенным в составе закупочной документа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ательств по Договору в размере аванса.</w:t>
      </w:r>
      <w:r/>
    </w:p>
    <w:p>
      <w:pPr>
        <w:pStyle w:val="1003"/>
        <w:numPr>
          <w:ilvl w:val="1"/>
          <w:numId w:val="20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/>
    </w:p>
    <w:p>
      <w:pPr>
        <w:pStyle w:val="1003"/>
        <w:numPr>
          <w:ilvl w:val="1"/>
          <w:numId w:val="20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В случае если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ляется.</w:t>
      </w:r>
      <w:r/>
    </w:p>
    <w:p>
      <w:pPr>
        <w:pStyle w:val="1003"/>
        <w:numPr>
          <w:ilvl w:val="0"/>
          <w:numId w:val="21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/>
    </w:p>
    <w:p>
      <w:pPr>
        <w:pStyle w:val="1003"/>
        <w:numPr>
          <w:ilvl w:val="0"/>
          <w:numId w:val="21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Обеспечение исполнения Договора, предусмотренное в пункте 1, предоставляется до заключения Договора.</w:t>
      </w:r>
      <w:r/>
    </w:p>
    <w:p>
      <w:pPr>
        <w:pStyle w:val="1003"/>
        <w:numPr>
          <w:ilvl w:val="0"/>
          <w:numId w:val="21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Об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е товаров/ выполнению работ/ оказанию услуг в соответствии с условиями Договора в полном объеме.</w:t>
      </w:r>
      <w:r/>
    </w:p>
    <w:p>
      <w:pPr>
        <w:pStyle w:val="1003"/>
        <w:numPr>
          <w:ilvl w:val="0"/>
          <w:numId w:val="21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вором срока исполнения обязательств по Договору. </w:t>
      </w:r>
      <w:r/>
    </w:p>
    <w:p>
      <w:pPr>
        <w:pStyle w:val="1003"/>
        <w:numPr>
          <w:ilvl w:val="0"/>
          <w:numId w:val="21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/>
    </w:p>
    <w:p>
      <w:pPr>
        <w:pStyle w:val="1003"/>
        <w:numPr>
          <w:ilvl w:val="0"/>
          <w:numId w:val="21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В с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рантам, установленным в извещении и/или документации о закупке.</w:t>
      </w:r>
      <w:r/>
    </w:p>
    <w:p>
      <w:pPr>
        <w:pStyle w:val="1003"/>
        <w:numPr>
          <w:ilvl w:val="0"/>
          <w:numId w:val="21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распорядительными документами Покупателя, регламентирующим порядок работы с обеспечением.</w:t>
      </w:r>
      <w:r/>
    </w:p>
    <w:p>
      <w:pPr>
        <w:pStyle w:val="1003"/>
        <w:numPr>
          <w:ilvl w:val="0"/>
          <w:numId w:val="21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/>
    </w:p>
    <w:p>
      <w:pPr>
        <w:pStyle w:val="1003"/>
        <w:numPr>
          <w:ilvl w:val="0"/>
          <w:numId w:val="18"/>
        </w:numPr>
        <w:ind w:left="0" w:firstLine="709"/>
        <w:jc w:val="both"/>
        <w:spacing w:after="0"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Если в проекте Договора, размещенного в составе закупочной документации, необход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/>
    </w:p>
    <w:tbl>
      <w:tblPr>
        <w:tblW w:w="14306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4677"/>
        <w:gridCol w:w="9629"/>
      </w:tblGrid>
      <w:tr>
        <w:tblPrEx/>
        <w:trPr>
          <w:trHeight w:val="411"/>
        </w:trPr>
        <w:tc>
          <w:tcPr>
            <w:tcW w:w="4677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_____________________/ А.В. Лукин 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9629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_____________________/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____ 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394"/>
        </w:trPr>
        <w:tc>
          <w:tcPr>
            <w:tcW w:w="4677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9629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679"/>
        </w:trPr>
        <w:tc>
          <w:tcPr>
            <w:tcW w:w="4677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«_____»_____________20___г.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9629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«_____» _____________20___г.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709" w:right="849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99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998"/>
    </w:pPr>
    <w:r/>
    <w:r/>
  </w:p>
  <w:p>
    <w:pPr>
      <w:pStyle w:val="998"/>
    </w:pPr>
    <w:r/>
    <w:r/>
  </w:p>
  <w:p>
    <w:pPr>
      <w:pStyle w:val="99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70"/>
        <w:jc w:val="both"/>
        <w:spacing w:before="0" w:after="0"/>
        <w:rPr>
          <w:i/>
        </w:rPr>
      </w:pPr>
      <w:r>
        <w:rPr>
          <w:rStyle w:val="988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</w:p>
  </w:footnote>
  <w:footnote w:id="3">
    <w:p>
      <w:pPr>
        <w:pStyle w:val="1042"/>
        <w:spacing w:before="0" w:after="0"/>
        <w:tabs>
          <w:tab w:val="left" w:pos="-142" w:leader="none"/>
        </w:tabs>
        <w:rPr>
          <w:i/>
        </w:rPr>
      </w:pPr>
      <w:r>
        <w:rPr>
          <w:rStyle w:val="1043"/>
        </w:rPr>
        <w:footnoteRef/>
      </w:r>
      <w:r>
        <w:rPr>
          <w:rStyle w:val="1043"/>
        </w:rPr>
        <w:t xml:space="preserve"> </w:t>
      </w:r>
      <w:r>
        <w:rPr>
          <w:i/>
        </w:rPr>
        <w:t xml:space="preserve">Включается, если договором предусмотрено обеспечение в форме независимой гарантии.</w:t>
      </w:r>
      <w:r>
        <w:rPr>
          <w:i/>
        </w:rPr>
      </w:r>
    </w:p>
  </w:footnote>
  <w:footnote w:id="4">
    <w:p>
      <w:pPr>
        <w:pStyle w:val="970"/>
      </w:pPr>
      <w:r>
        <w:rPr>
          <w:rStyle w:val="988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</w:t>
      </w:r>
      <w:r>
        <w:rPr>
          <w:i/>
        </w:rPr>
        <w:t xml:space="preserve">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5">
    <w:p>
      <w:pPr>
        <w:pStyle w:val="970"/>
      </w:pPr>
      <w:r>
        <w:rPr>
          <w:rStyle w:val="988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</w:t>
      </w:r>
      <w:r>
        <w:rPr>
          <w:i/>
          <w:sz w:val="18"/>
          <w:szCs w:val="18"/>
        </w:rPr>
        <w:t xml:space="preserve">ументом Покупателя и протоколом закупочного органа Покупателя.</w:t>
      </w:r>
      <w:r/>
    </w:p>
  </w:footnote>
  <w:footnote w:id="6">
    <w:p>
      <w:pPr>
        <w:pStyle w:val="970"/>
      </w:pPr>
      <w:r>
        <w:rPr>
          <w:rStyle w:val="988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</w:t>
      </w:r>
      <w:r>
        <w:rPr>
          <w:i/>
          <w:sz w:val="18"/>
          <w:szCs w:val="18"/>
        </w:rPr>
        <w:t xml:space="preserve">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</w:t>
      </w:r>
      <w:r>
        <w:rPr>
          <w:i/>
          <w:sz w:val="18"/>
          <w:szCs w:val="18"/>
        </w:rPr>
        <w:t xml:space="preserve">ректируется.</w:t>
      </w:r>
      <w:r/>
    </w:p>
  </w:footnote>
  <w:footnote w:id="7">
    <w:p>
      <w:pPr>
        <w:pStyle w:val="970"/>
      </w:pPr>
      <w:r>
        <w:rPr>
          <w:rStyle w:val="988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5">
    <w:multiLevelType w:val="hybridMultilevel"/>
    <w:lvl w:ilvl="0">
      <w:start w:val="1"/>
      <w:numFmt w:val="decimal"/>
      <w:pStyle w:val="984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985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986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styleLink w:val="989"/>
    <w:lvl w:ilvl="0">
      <w:start w:val="2"/>
      <w:numFmt w:val="decimal"/>
      <w:pStyle w:val="98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6"/>
  </w:num>
  <w:num w:numId="6">
    <w:abstractNumId w:val="17"/>
  </w:num>
  <w:num w:numId="7">
    <w:abstractNumId w:val="18"/>
  </w:num>
  <w:num w:numId="8">
    <w:abstractNumId w:val="15"/>
  </w:num>
  <w:num w:numId="9">
    <w:abstractNumId w:val="8"/>
  </w:num>
  <w:num w:numId="10">
    <w:abstractNumId w:val="9"/>
  </w:num>
  <w:num w:numId="11">
    <w:abstractNumId w:val="14"/>
  </w:num>
  <w:num w:numId="12">
    <w:abstractNumId w:val="1"/>
  </w:num>
  <w:num w:numId="13">
    <w:abstractNumId w:val="12"/>
  </w:num>
  <w:num w:numId="14">
    <w:abstractNumId w:val="21"/>
  </w:num>
  <w:num w:numId="15">
    <w:abstractNumId w:val="6"/>
  </w:num>
  <w:num w:numId="16">
    <w:abstractNumId w:val="10"/>
  </w:num>
  <w:num w:numId="17">
    <w:abstractNumId w:val="11"/>
  </w:num>
  <w:num w:numId="18">
    <w:abstractNumId w:val="19"/>
  </w:num>
  <w:num w:numId="19">
    <w:abstractNumId w:val="3"/>
  </w:num>
  <w:num w:numId="20">
    <w:abstractNumId w:val="20"/>
  </w:num>
  <w:num w:numId="21">
    <w:abstractNumId w:val="1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809"/>
    <w:link w:val="801"/>
    <w:uiPriority w:val="9"/>
    <w:rPr>
      <w:rFonts w:ascii="Arial" w:hAnsi="Arial" w:eastAsia="Arial" w:cs="Arial"/>
      <w:sz w:val="34"/>
    </w:rPr>
  </w:style>
  <w:style w:type="character" w:styleId="20">
    <w:name w:val="Heading 4 Char"/>
    <w:basedOn w:val="809"/>
    <w:link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09"/>
    <w:link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09"/>
    <w:link w:val="80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09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809"/>
    <w:link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809"/>
    <w:link w:val="808"/>
    <w:uiPriority w:val="9"/>
    <w:rPr>
      <w:rFonts w:ascii="Arial" w:hAnsi="Arial" w:eastAsia="Arial" w:cs="Arial"/>
      <w:i/>
      <w:iCs/>
      <w:sz w:val="21"/>
      <w:szCs w:val="21"/>
    </w:rPr>
  </w:style>
  <w:style w:type="character" w:styleId="37">
    <w:name w:val="Subtitle Char"/>
    <w:basedOn w:val="809"/>
    <w:link w:val="822"/>
    <w:uiPriority w:val="11"/>
    <w:rPr>
      <w:sz w:val="24"/>
      <w:szCs w:val="24"/>
    </w:rPr>
  </w:style>
  <w:style w:type="character" w:styleId="39">
    <w:name w:val="Quote Char"/>
    <w:link w:val="824"/>
    <w:uiPriority w:val="29"/>
    <w:rPr>
      <w:i/>
    </w:rPr>
  </w:style>
  <w:style w:type="character" w:styleId="41">
    <w:name w:val="Intense Quote Char"/>
    <w:link w:val="826"/>
    <w:uiPriority w:val="30"/>
    <w:rPr>
      <w:i/>
    </w:rPr>
  </w:style>
  <w:style w:type="paragraph" w:styleId="799" w:default="1">
    <w:name w:val="Normal"/>
    <w:qFormat/>
  </w:style>
  <w:style w:type="paragraph" w:styleId="800">
    <w:name w:val="Heading 1"/>
    <w:basedOn w:val="799"/>
    <w:next w:val="799"/>
    <w:link w:val="99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01">
    <w:name w:val="Heading 2"/>
    <w:basedOn w:val="799"/>
    <w:next w:val="799"/>
    <w:link w:val="81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02">
    <w:name w:val="Heading 3"/>
    <w:basedOn w:val="799"/>
    <w:next w:val="799"/>
    <w:link w:val="991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03">
    <w:name w:val="Heading 4"/>
    <w:basedOn w:val="799"/>
    <w:next w:val="799"/>
    <w:link w:val="81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4">
    <w:name w:val="Heading 5"/>
    <w:basedOn w:val="799"/>
    <w:next w:val="799"/>
    <w:link w:val="81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5">
    <w:name w:val="Heading 6"/>
    <w:basedOn w:val="799"/>
    <w:next w:val="799"/>
    <w:link w:val="81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06">
    <w:name w:val="Heading 7"/>
    <w:basedOn w:val="799"/>
    <w:next w:val="799"/>
    <w:link w:val="81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07">
    <w:name w:val="Heading 8"/>
    <w:basedOn w:val="799"/>
    <w:next w:val="799"/>
    <w:link w:val="81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08">
    <w:name w:val="Heading 9"/>
    <w:basedOn w:val="799"/>
    <w:next w:val="799"/>
    <w:link w:val="82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9" w:default="1">
    <w:name w:val="Default Paragraph Font"/>
    <w:uiPriority w:val="1"/>
    <w:semiHidden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Heading 1 Char"/>
    <w:basedOn w:val="809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Заголовок 2 Знак"/>
    <w:basedOn w:val="809"/>
    <w:link w:val="801"/>
    <w:uiPriority w:val="9"/>
    <w:rPr>
      <w:rFonts w:ascii="Arial" w:hAnsi="Arial" w:eastAsia="Arial" w:cs="Arial"/>
      <w:sz w:val="34"/>
    </w:rPr>
  </w:style>
  <w:style w:type="character" w:styleId="814" w:customStyle="1">
    <w:name w:val="Heading 3 Char"/>
    <w:basedOn w:val="809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Заголовок 4 Знак"/>
    <w:basedOn w:val="809"/>
    <w:link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Заголовок 5 Знак"/>
    <w:basedOn w:val="809"/>
    <w:link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Заголовок 6 Знак"/>
    <w:basedOn w:val="809"/>
    <w:link w:val="805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Заголовок 7 Знак"/>
    <w:basedOn w:val="809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Заголовок 8 Знак"/>
    <w:basedOn w:val="809"/>
    <w:link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Заголовок 9 Знак"/>
    <w:basedOn w:val="809"/>
    <w:link w:val="808"/>
    <w:uiPriority w:val="9"/>
    <w:rPr>
      <w:rFonts w:ascii="Arial" w:hAnsi="Arial" w:eastAsia="Arial" w:cs="Arial"/>
      <w:i/>
      <w:iCs/>
      <w:sz w:val="21"/>
      <w:szCs w:val="21"/>
    </w:rPr>
  </w:style>
  <w:style w:type="character" w:styleId="821" w:customStyle="1">
    <w:name w:val="Title Char"/>
    <w:basedOn w:val="809"/>
    <w:uiPriority w:val="10"/>
    <w:rPr>
      <w:sz w:val="48"/>
      <w:szCs w:val="48"/>
    </w:rPr>
  </w:style>
  <w:style w:type="paragraph" w:styleId="822">
    <w:name w:val="Subtitle"/>
    <w:basedOn w:val="799"/>
    <w:next w:val="799"/>
    <w:link w:val="823"/>
    <w:uiPriority w:val="11"/>
    <w:qFormat/>
    <w:pPr>
      <w:spacing w:before="200"/>
    </w:pPr>
    <w:rPr>
      <w:sz w:val="24"/>
      <w:szCs w:val="24"/>
    </w:rPr>
  </w:style>
  <w:style w:type="character" w:styleId="823" w:customStyle="1">
    <w:name w:val="Подзаголовок Знак"/>
    <w:basedOn w:val="809"/>
    <w:link w:val="822"/>
    <w:uiPriority w:val="11"/>
    <w:rPr>
      <w:sz w:val="24"/>
      <w:szCs w:val="24"/>
    </w:rPr>
  </w:style>
  <w:style w:type="paragraph" w:styleId="824">
    <w:name w:val="Quote"/>
    <w:basedOn w:val="799"/>
    <w:next w:val="799"/>
    <w:link w:val="825"/>
    <w:uiPriority w:val="29"/>
    <w:qFormat/>
    <w:pPr>
      <w:ind w:left="720" w:right="720"/>
    </w:pPr>
    <w:rPr>
      <w:i/>
    </w:rPr>
  </w:style>
  <w:style w:type="character" w:styleId="825" w:customStyle="1">
    <w:name w:val="Цитата 2 Знак"/>
    <w:link w:val="824"/>
    <w:uiPriority w:val="29"/>
    <w:rPr>
      <w:i/>
    </w:rPr>
  </w:style>
  <w:style w:type="paragraph" w:styleId="826">
    <w:name w:val="Intense Quote"/>
    <w:basedOn w:val="799"/>
    <w:next w:val="799"/>
    <w:link w:val="82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7" w:customStyle="1">
    <w:name w:val="Выделенная цитата Знак"/>
    <w:link w:val="826"/>
    <w:uiPriority w:val="30"/>
    <w:rPr>
      <w:i/>
    </w:rPr>
  </w:style>
  <w:style w:type="character" w:styleId="828" w:customStyle="1">
    <w:name w:val="Header Char"/>
    <w:basedOn w:val="809"/>
    <w:uiPriority w:val="99"/>
  </w:style>
  <w:style w:type="character" w:styleId="829" w:customStyle="1">
    <w:name w:val="Footer Char"/>
    <w:basedOn w:val="809"/>
    <w:uiPriority w:val="99"/>
  </w:style>
  <w:style w:type="paragraph" w:styleId="830">
    <w:name w:val="Caption"/>
    <w:basedOn w:val="799"/>
    <w:next w:val="79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31" w:customStyle="1">
    <w:name w:val="Caption Char"/>
    <w:uiPriority w:val="99"/>
  </w:style>
  <w:style w:type="table" w:styleId="832" w:customStyle="1">
    <w:name w:val="Table Grid Light"/>
    <w:basedOn w:val="81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3">
    <w:name w:val="Plain Table 1"/>
    <w:basedOn w:val="81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4">
    <w:name w:val="Plain Table 2"/>
    <w:basedOn w:val="81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5">
    <w:name w:val="Plain Table 3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6">
    <w:name w:val="Plain Table 4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Plain Table 5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8">
    <w:name w:val="Grid Table 1 Light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4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0" w:customStyle="1">
    <w:name w:val="Grid Table 4 - Accent 1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1" w:customStyle="1">
    <w:name w:val="Grid Table 4 - Accent 2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2" w:customStyle="1">
    <w:name w:val="Grid Table 4 - Accent 3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3" w:customStyle="1">
    <w:name w:val="Grid Table 4 - Accent 4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4" w:customStyle="1">
    <w:name w:val="Grid Table 4 - Accent 5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5" w:customStyle="1">
    <w:name w:val="Grid Table 4 - Accent 6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6">
    <w:name w:val="Grid Table 5 Dark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3">
    <w:name w:val="Grid Table 6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4" w:customStyle="1">
    <w:name w:val="Grid Table 6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5" w:customStyle="1">
    <w:name w:val="Grid Table 6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6" w:customStyle="1">
    <w:name w:val="Grid Table 6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7" w:customStyle="1">
    <w:name w:val="Grid Table 6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8" w:customStyle="1">
    <w:name w:val="Grid Table 6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9" w:customStyle="1">
    <w:name w:val="Grid Table 6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0">
    <w:name w:val="Grid Table 7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1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2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3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4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5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6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1">
    <w:name w:val="List Table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5 Dark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>
    <w:name w:val="List Table 6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3" w:customStyle="1">
    <w:name w:val="List Table 6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4" w:customStyle="1">
    <w:name w:val="List Table 6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5" w:customStyle="1">
    <w:name w:val="List Table 6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6" w:customStyle="1">
    <w:name w:val="List Table 6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7" w:customStyle="1">
    <w:name w:val="List Table 6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8" w:customStyle="1">
    <w:name w:val="List Table 6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9">
    <w:name w:val="List Table 7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ned - Accent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7" w:customStyle="1">
    <w:name w:val="Lined - Accent 1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8" w:customStyle="1">
    <w:name w:val="Lined - Accent 2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9" w:customStyle="1">
    <w:name w:val="Lined - Accent 3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0" w:customStyle="1">
    <w:name w:val="Lined - Accent 4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1" w:customStyle="1">
    <w:name w:val="Lined - Accent 5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2" w:customStyle="1">
    <w:name w:val="Lined - Accent 6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3" w:customStyle="1">
    <w:name w:val="Bordered &amp; Lined - Accent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4" w:customStyle="1">
    <w:name w:val="Bordered &amp; Lined - Accent 1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5" w:customStyle="1">
    <w:name w:val="Bordered &amp; Lined - Accent 2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6" w:customStyle="1">
    <w:name w:val="Bordered &amp; Lined - Accent 3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7" w:customStyle="1">
    <w:name w:val="Bordered &amp; Lined - Accent 4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8" w:customStyle="1">
    <w:name w:val="Bordered &amp; Lined - Accent 5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9" w:customStyle="1">
    <w:name w:val="Bordered &amp; Lined - Accent 6"/>
    <w:basedOn w:val="81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0" w:customStyle="1">
    <w:name w:val="Bordered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1" w:customStyle="1">
    <w:name w:val="Bordered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2" w:customStyle="1">
    <w:name w:val="Bordered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3" w:customStyle="1">
    <w:name w:val="Bordered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4" w:customStyle="1">
    <w:name w:val="Bordered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5" w:customStyle="1">
    <w:name w:val="Bordered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6" w:customStyle="1">
    <w:name w:val="Bordered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7" w:customStyle="1">
    <w:name w:val="Footnote Text Char"/>
    <w:uiPriority w:val="99"/>
    <w:rPr>
      <w:sz w:val="18"/>
    </w:rPr>
  </w:style>
  <w:style w:type="character" w:styleId="958" w:customStyle="1">
    <w:name w:val="Endnote Text Char"/>
    <w:uiPriority w:val="99"/>
    <w:rPr>
      <w:sz w:val="20"/>
    </w:rPr>
  </w:style>
  <w:style w:type="paragraph" w:styleId="959">
    <w:name w:val="toc 1"/>
    <w:basedOn w:val="799"/>
    <w:next w:val="799"/>
    <w:uiPriority w:val="39"/>
    <w:unhideWhenUsed/>
    <w:pPr>
      <w:spacing w:after="57"/>
    </w:pPr>
  </w:style>
  <w:style w:type="paragraph" w:styleId="960">
    <w:name w:val="toc 2"/>
    <w:basedOn w:val="799"/>
    <w:next w:val="799"/>
    <w:uiPriority w:val="39"/>
    <w:unhideWhenUsed/>
    <w:pPr>
      <w:ind w:left="283"/>
      <w:spacing w:after="57"/>
    </w:pPr>
  </w:style>
  <w:style w:type="paragraph" w:styleId="961">
    <w:name w:val="toc 3"/>
    <w:basedOn w:val="799"/>
    <w:next w:val="799"/>
    <w:uiPriority w:val="39"/>
    <w:unhideWhenUsed/>
    <w:pPr>
      <w:ind w:left="567"/>
      <w:spacing w:after="57"/>
    </w:pPr>
  </w:style>
  <w:style w:type="paragraph" w:styleId="962">
    <w:name w:val="toc 4"/>
    <w:basedOn w:val="799"/>
    <w:next w:val="799"/>
    <w:uiPriority w:val="39"/>
    <w:unhideWhenUsed/>
    <w:pPr>
      <w:ind w:left="850"/>
      <w:spacing w:after="57"/>
    </w:pPr>
  </w:style>
  <w:style w:type="paragraph" w:styleId="963">
    <w:name w:val="toc 5"/>
    <w:basedOn w:val="799"/>
    <w:next w:val="799"/>
    <w:uiPriority w:val="39"/>
    <w:unhideWhenUsed/>
    <w:pPr>
      <w:ind w:left="1134"/>
      <w:spacing w:after="57"/>
    </w:pPr>
  </w:style>
  <w:style w:type="paragraph" w:styleId="964">
    <w:name w:val="toc 6"/>
    <w:basedOn w:val="799"/>
    <w:next w:val="799"/>
    <w:uiPriority w:val="39"/>
    <w:unhideWhenUsed/>
    <w:pPr>
      <w:ind w:left="1417"/>
      <w:spacing w:after="57"/>
    </w:pPr>
  </w:style>
  <w:style w:type="paragraph" w:styleId="965">
    <w:name w:val="toc 7"/>
    <w:basedOn w:val="799"/>
    <w:next w:val="799"/>
    <w:uiPriority w:val="39"/>
    <w:unhideWhenUsed/>
    <w:pPr>
      <w:ind w:left="1701"/>
      <w:spacing w:after="57"/>
    </w:pPr>
  </w:style>
  <w:style w:type="paragraph" w:styleId="966">
    <w:name w:val="toc 8"/>
    <w:basedOn w:val="799"/>
    <w:next w:val="799"/>
    <w:uiPriority w:val="39"/>
    <w:unhideWhenUsed/>
    <w:pPr>
      <w:ind w:left="1984"/>
      <w:spacing w:after="57"/>
    </w:pPr>
  </w:style>
  <w:style w:type="paragraph" w:styleId="967">
    <w:name w:val="toc 9"/>
    <w:basedOn w:val="799"/>
    <w:next w:val="799"/>
    <w:uiPriority w:val="39"/>
    <w:unhideWhenUsed/>
    <w:pPr>
      <w:ind w:left="2268"/>
      <w:spacing w:after="57"/>
    </w:pPr>
  </w:style>
  <w:style w:type="paragraph" w:styleId="968">
    <w:name w:val="TOC Heading"/>
    <w:uiPriority w:val="39"/>
    <w:unhideWhenUsed/>
  </w:style>
  <w:style w:type="paragraph" w:styleId="969">
    <w:name w:val="table of figures"/>
    <w:basedOn w:val="799"/>
    <w:next w:val="799"/>
    <w:uiPriority w:val="99"/>
    <w:unhideWhenUsed/>
    <w:pPr>
      <w:spacing w:after="0"/>
    </w:pPr>
  </w:style>
  <w:style w:type="paragraph" w:styleId="970">
    <w:name w:val="footnote text"/>
    <w:basedOn w:val="799"/>
    <w:link w:val="971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71" w:customStyle="1">
    <w:name w:val="Текст сноски Знак"/>
    <w:basedOn w:val="809"/>
    <w:link w:val="970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972">
    <w:name w:val="Title"/>
    <w:basedOn w:val="799"/>
    <w:link w:val="973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73" w:customStyle="1">
    <w:name w:val="Заголовок Знак"/>
    <w:basedOn w:val="809"/>
    <w:link w:val="972"/>
    <w:rPr>
      <w:rFonts w:ascii="Times New Roman" w:hAnsi="Times New Roman" w:eastAsia="Times New Roman" w:cs="Times New Roman"/>
      <w:sz w:val="24"/>
      <w:szCs w:val="24"/>
    </w:rPr>
  </w:style>
  <w:style w:type="character" w:styleId="974" w:customStyle="1">
    <w:name w:val="Основной текст Знак"/>
    <w:basedOn w:val="809"/>
    <w:link w:val="975"/>
    <w:rPr>
      <w:rFonts w:ascii="Times New Roman" w:hAnsi="Times New Roman" w:eastAsia="Times New Roman" w:cs="Times New Roman"/>
      <w:sz w:val="28"/>
      <w:szCs w:val="28"/>
    </w:rPr>
  </w:style>
  <w:style w:type="paragraph" w:styleId="975">
    <w:name w:val="Body Text"/>
    <w:basedOn w:val="799"/>
    <w:link w:val="974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76" w:customStyle="1">
    <w:name w:val="Основной текст Знак1"/>
    <w:basedOn w:val="809"/>
    <w:uiPriority w:val="99"/>
    <w:semiHidden/>
  </w:style>
  <w:style w:type="paragraph" w:styleId="977">
    <w:name w:val="Body Text Indent"/>
    <w:basedOn w:val="799"/>
    <w:link w:val="978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78" w:customStyle="1">
    <w:name w:val="Основной текст с отступом Знак"/>
    <w:basedOn w:val="809"/>
    <w:link w:val="977"/>
    <w:rPr>
      <w:rFonts w:ascii="Times New Roman" w:hAnsi="Times New Roman" w:eastAsia="Times New Roman" w:cs="Times New Roman"/>
      <w:sz w:val="24"/>
      <w:szCs w:val="24"/>
    </w:rPr>
  </w:style>
  <w:style w:type="paragraph" w:styleId="979">
    <w:name w:val="Body Text 2"/>
    <w:basedOn w:val="799"/>
    <w:link w:val="980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80" w:customStyle="1">
    <w:name w:val="Основной текст 2 Знак"/>
    <w:basedOn w:val="809"/>
    <w:link w:val="979"/>
    <w:rPr>
      <w:rFonts w:ascii="Times New Roman" w:hAnsi="Times New Roman" w:eastAsia="Times New Roman" w:cs="Times New Roman"/>
      <w:sz w:val="28"/>
      <w:szCs w:val="28"/>
    </w:rPr>
  </w:style>
  <w:style w:type="paragraph" w:styleId="981">
    <w:name w:val="Body Text 3"/>
    <w:basedOn w:val="799"/>
    <w:link w:val="982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982" w:customStyle="1">
    <w:name w:val="Основной текст 3 Знак"/>
    <w:basedOn w:val="809"/>
    <w:link w:val="981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983">
    <w:name w:val="No Spacing"/>
    <w:link w:val="994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84" w:customStyle="1">
    <w:name w:val="МРСК_заголовок_1"/>
    <w:basedOn w:val="800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985" w:customStyle="1">
    <w:name w:val="МРСК_заголовок_2"/>
    <w:basedOn w:val="799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986" w:customStyle="1">
    <w:name w:val="МРСК_заголовок_3"/>
    <w:basedOn w:val="802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987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88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989" w:customStyle="1">
    <w:name w:val="Стиль22"/>
    <w:pPr>
      <w:numPr>
        <w:ilvl w:val="0"/>
        <w:numId w:val="22"/>
      </w:numPr>
    </w:pPr>
  </w:style>
  <w:style w:type="character" w:styleId="990" w:customStyle="1">
    <w:name w:val="Заголовок 1 Знак"/>
    <w:basedOn w:val="809"/>
    <w:link w:val="800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91" w:customStyle="1">
    <w:name w:val="Заголовок 3 Знак"/>
    <w:basedOn w:val="809"/>
    <w:link w:val="802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992">
    <w:name w:val="Hyperlink"/>
    <w:basedOn w:val="809"/>
    <w:uiPriority w:val="99"/>
    <w:unhideWhenUsed/>
    <w:rPr>
      <w:color w:val="0000ff" w:themeColor="hyperlink"/>
      <w:u w:val="single"/>
    </w:rPr>
  </w:style>
  <w:style w:type="paragraph" w:styleId="993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994" w:customStyle="1">
    <w:name w:val="Без интервала Знак"/>
    <w:link w:val="983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5" w:customStyle="1">
    <w:name w:val="МРСК_таблица_текст"/>
    <w:basedOn w:val="799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996">
    <w:name w:val="Header"/>
    <w:basedOn w:val="799"/>
    <w:link w:val="99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97" w:customStyle="1">
    <w:name w:val="Верхний колонтитул Знак"/>
    <w:basedOn w:val="809"/>
    <w:link w:val="996"/>
    <w:uiPriority w:val="99"/>
  </w:style>
  <w:style w:type="paragraph" w:styleId="998">
    <w:name w:val="Footer"/>
    <w:basedOn w:val="799"/>
    <w:link w:val="99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99" w:customStyle="1">
    <w:name w:val="Нижний колонтитул Знак"/>
    <w:basedOn w:val="809"/>
    <w:link w:val="998"/>
    <w:uiPriority w:val="99"/>
  </w:style>
  <w:style w:type="character" w:styleId="1000" w:customStyle="1">
    <w:name w:val="apple-converted-space"/>
    <w:basedOn w:val="809"/>
  </w:style>
  <w:style w:type="paragraph" w:styleId="1001">
    <w:name w:val="Normal (Web)"/>
    <w:basedOn w:val="79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02">
    <w:name w:val="Table Grid"/>
    <w:basedOn w:val="81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3">
    <w:name w:val="List Paragraph"/>
    <w:basedOn w:val="799"/>
    <w:qFormat/>
    <w:pPr>
      <w:contextualSpacing/>
      <w:ind w:left="720"/>
    </w:pPr>
  </w:style>
  <w:style w:type="paragraph" w:styleId="1004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05" w:customStyle="1">
    <w:name w:val="Font Style14"/>
    <w:basedOn w:val="809"/>
    <w:uiPriority w:val="99"/>
    <w:rPr>
      <w:rFonts w:ascii="Arial" w:hAnsi="Arial" w:cs="Arial"/>
      <w:b/>
      <w:bCs/>
      <w:sz w:val="18"/>
      <w:szCs w:val="18"/>
    </w:rPr>
  </w:style>
  <w:style w:type="character" w:styleId="1006" w:customStyle="1">
    <w:name w:val="js-phone-number"/>
    <w:basedOn w:val="809"/>
  </w:style>
  <w:style w:type="paragraph" w:styleId="1007">
    <w:name w:val="Balloon Text"/>
    <w:basedOn w:val="799"/>
    <w:link w:val="100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08" w:customStyle="1">
    <w:name w:val="Текст выноски Знак"/>
    <w:basedOn w:val="809"/>
    <w:link w:val="1007"/>
    <w:uiPriority w:val="99"/>
    <w:semiHidden/>
    <w:rPr>
      <w:rFonts w:ascii="Tahoma" w:hAnsi="Tahoma" w:cs="Tahoma"/>
      <w:sz w:val="16"/>
      <w:szCs w:val="16"/>
    </w:rPr>
  </w:style>
  <w:style w:type="numbering" w:styleId="1009" w:customStyle="1">
    <w:name w:val="Нет списка1"/>
    <w:next w:val="811"/>
    <w:uiPriority w:val="99"/>
    <w:semiHidden/>
    <w:unhideWhenUsed/>
  </w:style>
  <w:style w:type="numbering" w:styleId="1010" w:customStyle="1">
    <w:name w:val="Нет списка2"/>
    <w:next w:val="811"/>
    <w:uiPriority w:val="99"/>
    <w:semiHidden/>
    <w:unhideWhenUsed/>
  </w:style>
  <w:style w:type="numbering" w:styleId="1011" w:customStyle="1">
    <w:name w:val="Нет списка11"/>
    <w:next w:val="811"/>
    <w:uiPriority w:val="99"/>
    <w:semiHidden/>
    <w:unhideWhenUsed/>
  </w:style>
  <w:style w:type="character" w:styleId="1012" w:customStyle="1">
    <w:name w:val="property_name"/>
    <w:basedOn w:val="809"/>
  </w:style>
  <w:style w:type="character" w:styleId="1013" w:customStyle="1">
    <w:name w:val="n-product-spec__name-inner"/>
    <w:basedOn w:val="809"/>
  </w:style>
  <w:style w:type="character" w:styleId="1014">
    <w:name w:val="Strong"/>
    <w:basedOn w:val="809"/>
    <w:uiPriority w:val="22"/>
    <w:qFormat/>
    <w:rPr>
      <w:b/>
      <w:bCs/>
    </w:rPr>
  </w:style>
  <w:style w:type="character" w:styleId="1015" w:customStyle="1">
    <w:name w:val="Основной текст (2)_"/>
    <w:basedOn w:val="80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16" w:customStyle="1">
    <w:name w:val="Основной текст (2)"/>
    <w:basedOn w:val="101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17" w:customStyle="1">
    <w:name w:val="Основной текст (2) + Полужирный"/>
    <w:basedOn w:val="1015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18" w:customStyle="1">
    <w:name w:val="Основной текст (2) + Arial Narrow;9;5 pt"/>
    <w:basedOn w:val="1015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19" w:customStyle="1">
    <w:name w:val="Основной текст (2) + Arial Narrow;15 pt"/>
    <w:basedOn w:val="1015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20">
    <w:name w:val="endnote text"/>
    <w:basedOn w:val="799"/>
    <w:link w:val="102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21" w:customStyle="1">
    <w:name w:val="Текст концевой сноски Знак"/>
    <w:basedOn w:val="809"/>
    <w:link w:val="1020"/>
    <w:uiPriority w:val="99"/>
    <w:semiHidden/>
    <w:rPr>
      <w:sz w:val="20"/>
      <w:szCs w:val="20"/>
    </w:rPr>
  </w:style>
  <w:style w:type="character" w:styleId="1022">
    <w:name w:val="endnote reference"/>
    <w:basedOn w:val="809"/>
    <w:uiPriority w:val="99"/>
    <w:semiHidden/>
    <w:unhideWhenUsed/>
    <w:rPr>
      <w:vertAlign w:val="superscript"/>
    </w:rPr>
  </w:style>
  <w:style w:type="numbering" w:styleId="1023" w:customStyle="1">
    <w:name w:val="Нет списка3"/>
    <w:next w:val="811"/>
    <w:uiPriority w:val="99"/>
    <w:semiHidden/>
    <w:unhideWhenUsed/>
  </w:style>
  <w:style w:type="table" w:styleId="1024" w:customStyle="1">
    <w:name w:val="Сетка таблицы1"/>
    <w:basedOn w:val="810"/>
    <w:next w:val="1002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5" w:customStyle="1">
    <w:name w:val="Абзац списка1"/>
    <w:basedOn w:val="799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26" w:customStyle="1">
    <w:name w:val="Стиль3"/>
    <w:basedOn w:val="799"/>
    <w:link w:val="1027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1027" w:customStyle="1">
    <w:name w:val="Стиль3 Знак"/>
    <w:link w:val="1026"/>
    <w:rPr>
      <w:rFonts w:ascii="Arial" w:hAnsi="Arial" w:eastAsia="Times New Roman" w:cs="Times New Roman"/>
    </w:rPr>
  </w:style>
  <w:style w:type="character" w:styleId="1028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1029">
    <w:name w:val="annotation reference"/>
    <w:uiPriority w:val="99"/>
    <w:semiHidden/>
    <w:unhideWhenUsed/>
    <w:rPr>
      <w:sz w:val="16"/>
      <w:szCs w:val="16"/>
    </w:rPr>
  </w:style>
  <w:style w:type="paragraph" w:styleId="1030">
    <w:name w:val="annotation text"/>
    <w:basedOn w:val="799"/>
    <w:link w:val="1031"/>
    <w:uiPriority w:val="99"/>
    <w:semiHidden/>
    <w:unhideWhenUsed/>
    <w:rPr>
      <w:rFonts w:ascii="Calibri" w:hAnsi="Calibri" w:eastAsia="Calibri" w:cs="Times New Roman"/>
      <w:sz w:val="20"/>
      <w:szCs w:val="20"/>
      <w:lang w:eastAsia="en-US"/>
    </w:rPr>
  </w:style>
  <w:style w:type="character" w:styleId="1031" w:customStyle="1">
    <w:name w:val="Текст примечания Знак"/>
    <w:basedOn w:val="809"/>
    <w:link w:val="1030"/>
    <w:uiPriority w:val="99"/>
    <w:semiHidden/>
    <w:rPr>
      <w:rFonts w:ascii="Calibri" w:hAnsi="Calibri" w:eastAsia="Calibri" w:cs="Times New Roman"/>
      <w:sz w:val="20"/>
      <w:szCs w:val="20"/>
      <w:lang w:eastAsia="en-US"/>
    </w:rPr>
  </w:style>
  <w:style w:type="paragraph" w:styleId="1032">
    <w:name w:val="annotation subject"/>
    <w:basedOn w:val="1030"/>
    <w:next w:val="1030"/>
    <w:link w:val="1033"/>
    <w:uiPriority w:val="99"/>
    <w:semiHidden/>
    <w:unhideWhenUsed/>
    <w:rPr>
      <w:b/>
      <w:bCs/>
    </w:rPr>
  </w:style>
  <w:style w:type="character" w:styleId="1033" w:customStyle="1">
    <w:name w:val="Тема примечания Знак"/>
    <w:basedOn w:val="1031"/>
    <w:link w:val="1032"/>
    <w:uiPriority w:val="99"/>
    <w:semiHidden/>
    <w:rPr>
      <w:rFonts w:ascii="Calibri" w:hAnsi="Calibri" w:eastAsia="Calibri" w:cs="Times New Roman"/>
      <w:b/>
      <w:bCs/>
      <w:sz w:val="20"/>
      <w:szCs w:val="20"/>
      <w:lang w:eastAsia="en-US"/>
    </w:rPr>
  </w:style>
  <w:style w:type="paragraph" w:styleId="1034">
    <w:name w:val="Plain Text"/>
    <w:basedOn w:val="799"/>
    <w:link w:val="1035"/>
    <w:uiPriority w:val="99"/>
    <w:unhideWhenUsed/>
    <w:pPr>
      <w:spacing w:after="0" w:line="240" w:lineRule="auto"/>
    </w:pPr>
    <w:rPr>
      <w:rFonts w:ascii="Calibri" w:hAnsi="Calibri" w:eastAsia="Times New Roman" w:cs="Times New Roman"/>
      <w:szCs w:val="21"/>
      <w:lang w:eastAsia="en-US"/>
    </w:rPr>
  </w:style>
  <w:style w:type="character" w:styleId="1035" w:customStyle="1">
    <w:name w:val="Текст Знак"/>
    <w:basedOn w:val="809"/>
    <w:link w:val="1034"/>
    <w:uiPriority w:val="99"/>
    <w:rPr>
      <w:rFonts w:ascii="Calibri" w:hAnsi="Calibri" w:eastAsia="Times New Roman" w:cs="Times New Roman"/>
      <w:szCs w:val="21"/>
      <w:lang w:eastAsia="en-US"/>
    </w:rPr>
  </w:style>
  <w:style w:type="paragraph" w:styleId="1036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1037" w:customStyle="1">
    <w:name w:val="Абзац списка2"/>
    <w:basedOn w:val="799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38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1039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1040" w:customStyle="1">
    <w:name w:val="formattext"/>
    <w:basedOn w:val="7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41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42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43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uva.mrsk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D97BF-3E65-47B0-B7E7-0492E57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218</cp:revision>
  <dcterms:created xsi:type="dcterms:W3CDTF">2023-08-25T12:30:00Z</dcterms:created>
  <dcterms:modified xsi:type="dcterms:W3CDTF">2025-03-26T07:00:10Z</dcterms:modified>
</cp:coreProperties>
</file>